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EC218">
      <w:pPr>
        <w:keepNext w:val="0"/>
        <w:keepLines w:val="0"/>
        <w:pageBreakBefore w:val="0"/>
        <w:kinsoku/>
        <w:wordWrap/>
        <w:overflowPunct/>
        <w:topLinePunct w:val="0"/>
        <w:bidi w:val="0"/>
        <w:adjustRightInd/>
        <w:snapToGrid/>
        <w:spacing w:line="540" w:lineRule="exact"/>
        <w:ind w:left="0"/>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广州市</w:t>
      </w:r>
      <w:r>
        <w:rPr>
          <w:rFonts w:hint="default" w:ascii="Times New Roman" w:hAnsi="Times New Roman" w:eastAsia="方正小标宋简体" w:cs="Times New Roman"/>
          <w:sz w:val="44"/>
          <w:szCs w:val="44"/>
          <w:highlight w:val="none"/>
          <w:lang w:val="en-US" w:eastAsia="zh-CN"/>
        </w:rPr>
        <w:t>越秀区</w:t>
      </w:r>
      <w:r>
        <w:rPr>
          <w:rFonts w:hint="default" w:ascii="Times New Roman" w:hAnsi="Times New Roman" w:eastAsia="方正小标宋简体" w:cs="Times New Roman"/>
          <w:sz w:val="44"/>
          <w:szCs w:val="44"/>
          <w:highlight w:val="none"/>
        </w:rPr>
        <w:t>民政局</w:t>
      </w:r>
      <w:r>
        <w:rPr>
          <w:rFonts w:hint="default" w:ascii="Times New Roman" w:hAnsi="Times New Roman" w:eastAsia="方正小标宋简体" w:cs="Times New Roman"/>
          <w:sz w:val="44"/>
          <w:szCs w:val="44"/>
          <w:highlight w:val="none"/>
          <w:lang w:val="en-US" w:eastAsia="zh-CN"/>
        </w:rPr>
        <w:t>202</w:t>
      </w:r>
      <w:r>
        <w:rPr>
          <w:rFonts w:hint="eastAsia" w:eastAsia="方正小标宋简体" w:cs="Times New Roman"/>
          <w:sz w:val="44"/>
          <w:szCs w:val="44"/>
          <w:highlight w:val="none"/>
          <w:lang w:val="en-US" w:eastAsia="zh-CN"/>
        </w:rPr>
        <w:t>5</w:t>
      </w:r>
      <w:r>
        <w:rPr>
          <w:rFonts w:hint="default" w:ascii="Times New Roman" w:hAnsi="Times New Roman" w:eastAsia="方正小标宋简体" w:cs="Times New Roman"/>
          <w:sz w:val="44"/>
          <w:szCs w:val="44"/>
          <w:highlight w:val="none"/>
          <w:lang w:val="en-US" w:eastAsia="zh-CN"/>
        </w:rPr>
        <w:t>年度</w:t>
      </w:r>
      <w:r>
        <w:rPr>
          <w:rFonts w:hint="default" w:ascii="Times New Roman" w:hAnsi="Times New Roman" w:eastAsia="方正小标宋简体" w:cs="Times New Roman"/>
          <w:sz w:val="44"/>
          <w:szCs w:val="44"/>
          <w:highlight w:val="none"/>
        </w:rPr>
        <w:t>精神障碍社区康复服务项目需求书</w:t>
      </w:r>
    </w:p>
    <w:p w14:paraId="5AA429B9">
      <w:pPr>
        <w:keepNext w:val="0"/>
        <w:keepLines w:val="0"/>
        <w:pageBreakBefore w:val="0"/>
        <w:kinsoku/>
        <w:wordWrap/>
        <w:overflowPunct/>
        <w:topLinePunct w:val="0"/>
        <w:bidi w:val="0"/>
        <w:adjustRightInd/>
        <w:snapToGrid/>
        <w:spacing w:line="540" w:lineRule="exact"/>
        <w:ind w:left="0" w:firstLine="643" w:firstLineChars="200"/>
        <w:textAlignment w:val="auto"/>
        <w:rPr>
          <w:rFonts w:hint="default" w:ascii="Times New Roman" w:hAnsi="Times New Roman" w:eastAsia="仿宋_GB2312" w:cs="Times New Roman"/>
          <w:b/>
          <w:kern w:val="24"/>
          <w:sz w:val="32"/>
          <w:szCs w:val="32"/>
          <w:highlight w:val="none"/>
        </w:rPr>
      </w:pPr>
    </w:p>
    <w:p w14:paraId="75A71445">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一、项目概况</w:t>
      </w:r>
    </w:p>
    <w:p w14:paraId="464AC7AB">
      <w:pPr>
        <w:pStyle w:val="14"/>
        <w:keepNext w:val="0"/>
        <w:keepLines w:val="0"/>
        <w:pageBreakBefore w:val="0"/>
        <w:kinsoku/>
        <w:wordWrap/>
        <w:overflowPunct/>
        <w:topLinePunct w:val="0"/>
        <w:bidi w:val="0"/>
        <w:adjustRightInd/>
        <w:snapToGrid/>
        <w:spacing w:line="540" w:lineRule="exact"/>
        <w:ind w:left="0"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根据上级民政部门关于“推进精康融合行动”工作要求，</w:t>
      </w:r>
      <w:r>
        <w:rPr>
          <w:rFonts w:hint="eastAsia" w:ascii="Times New Roman" w:hAnsi="Times New Roman" w:eastAsia="仿宋_GB2312" w:cs="Times New Roman"/>
          <w:sz w:val="32"/>
          <w:szCs w:val="32"/>
          <w:highlight w:val="none"/>
          <w:lang w:val="en-US" w:eastAsia="zh-CN"/>
        </w:rPr>
        <w:t>以民政对象精神障碍患者为重点，</w:t>
      </w:r>
      <w:r>
        <w:rPr>
          <w:rFonts w:hint="eastAsia" w:ascii="Times New Roman" w:hAnsi="Times New Roman" w:eastAsia="仿宋_GB2312" w:cs="Times New Roman"/>
          <w:sz w:val="32"/>
          <w:szCs w:val="32"/>
          <w:highlight w:val="none"/>
          <w:lang w:val="en-US" w:eastAsia="zh-CN"/>
        </w:rPr>
        <w:t>促进</w:t>
      </w:r>
      <w:r>
        <w:rPr>
          <w:rFonts w:hint="default" w:ascii="Times New Roman" w:hAnsi="Times New Roman" w:eastAsia="仿宋_GB2312" w:cs="Times New Roman"/>
          <w:sz w:val="32"/>
          <w:szCs w:val="32"/>
          <w:highlight w:val="none"/>
          <w:lang w:val="en-US" w:eastAsia="zh-CN"/>
        </w:rPr>
        <w:t>精神障碍患者回归和融入社会、减轻精神障碍患者、家庭及社会负担，</w:t>
      </w:r>
      <w:r>
        <w:rPr>
          <w:rFonts w:hint="default" w:ascii="Times New Roman" w:hAnsi="Times New Roman" w:eastAsia="仿宋_GB2312" w:cs="Times New Roman"/>
          <w:color w:val="000000"/>
          <w:sz w:val="32"/>
          <w:highlight w:val="none"/>
        </w:rPr>
        <w:t>支持和引导社会力量开展精神障碍社区康复服务，</w:t>
      </w:r>
      <w:r>
        <w:rPr>
          <w:rFonts w:hint="default" w:ascii="Times New Roman" w:hAnsi="Times New Roman" w:eastAsia="仿宋_GB2312" w:cs="Times New Roman"/>
          <w:color w:val="000000"/>
          <w:sz w:val="32"/>
          <w:highlight w:val="none"/>
          <w:lang w:val="en-US" w:eastAsia="zh-CN"/>
        </w:rPr>
        <w:t>现</w:t>
      </w:r>
      <w:r>
        <w:rPr>
          <w:rFonts w:hint="default" w:ascii="Times New Roman" w:hAnsi="Times New Roman" w:eastAsia="仿宋_GB2312" w:cs="Times New Roman"/>
          <w:color w:val="000000"/>
          <w:sz w:val="32"/>
          <w:highlight w:val="none"/>
        </w:rPr>
        <w:t>确定</w:t>
      </w:r>
      <w:r>
        <w:rPr>
          <w:rFonts w:hint="default" w:ascii="Times New Roman" w:hAnsi="Times New Roman" w:eastAsia="仿宋_GB2312" w:cs="Times New Roman"/>
          <w:color w:val="000000"/>
          <w:sz w:val="32"/>
          <w:highlight w:val="none"/>
          <w:lang w:val="en-US" w:eastAsia="zh-CN"/>
        </w:rPr>
        <w:t>一</w:t>
      </w:r>
      <w:r>
        <w:rPr>
          <w:rFonts w:hint="default" w:ascii="Times New Roman" w:hAnsi="Times New Roman" w:eastAsia="仿宋_GB2312" w:cs="Times New Roman"/>
          <w:color w:val="000000"/>
          <w:sz w:val="32"/>
          <w:highlight w:val="none"/>
        </w:rPr>
        <w:t>家符合资质的</w:t>
      </w:r>
      <w:r>
        <w:rPr>
          <w:rFonts w:hint="default" w:ascii="Times New Roman" w:hAnsi="Times New Roman" w:eastAsia="仿宋_GB2312" w:cs="Times New Roman"/>
          <w:color w:val="000000"/>
          <w:sz w:val="32"/>
          <w:highlight w:val="none"/>
          <w:lang w:val="en-US" w:eastAsia="zh-CN"/>
        </w:rPr>
        <w:t>机构</w:t>
      </w:r>
      <w:r>
        <w:rPr>
          <w:rFonts w:hint="default" w:ascii="Times New Roman" w:hAnsi="Times New Roman" w:eastAsia="仿宋_GB2312" w:cs="Times New Roman"/>
          <w:color w:val="000000"/>
          <w:sz w:val="32"/>
          <w:highlight w:val="none"/>
        </w:rPr>
        <w:t>承接广州市越秀区民政局</w:t>
      </w:r>
      <w:r>
        <w:rPr>
          <w:rFonts w:hint="default" w:ascii="Times New Roman" w:hAnsi="Times New Roman" w:eastAsia="仿宋_GB2312" w:cs="Times New Roman"/>
          <w:color w:val="000000"/>
          <w:sz w:val="32"/>
          <w:highlight w:val="none"/>
          <w:lang w:val="en-US" w:eastAsia="zh-CN"/>
        </w:rPr>
        <w:t>202</w:t>
      </w:r>
      <w:r>
        <w:rPr>
          <w:rFonts w:hint="eastAsia" w:ascii="Times New Roman" w:hAnsi="Times New Roman" w:eastAsia="仿宋_GB2312" w:cs="Times New Roman"/>
          <w:color w:val="000000"/>
          <w:sz w:val="32"/>
          <w:highlight w:val="none"/>
          <w:lang w:val="en-US" w:eastAsia="zh-CN"/>
        </w:rPr>
        <w:t>5</w:t>
      </w:r>
      <w:r>
        <w:rPr>
          <w:rFonts w:hint="default" w:ascii="Times New Roman" w:hAnsi="Times New Roman" w:eastAsia="仿宋_GB2312" w:cs="Times New Roman"/>
          <w:color w:val="000000"/>
          <w:sz w:val="32"/>
          <w:highlight w:val="none"/>
          <w:lang w:val="en-US" w:eastAsia="zh-CN"/>
        </w:rPr>
        <w:t>年度</w:t>
      </w:r>
      <w:r>
        <w:rPr>
          <w:rFonts w:hint="default" w:ascii="Times New Roman" w:hAnsi="Times New Roman" w:eastAsia="仿宋_GB2312" w:cs="Times New Roman"/>
          <w:color w:val="000000"/>
          <w:sz w:val="32"/>
          <w:highlight w:val="none"/>
        </w:rPr>
        <w:t>精神障碍社区康复服务项目，</w:t>
      </w:r>
      <w:r>
        <w:rPr>
          <w:rFonts w:hint="default" w:ascii="Times New Roman" w:hAnsi="Times New Roman" w:eastAsia="仿宋_GB2312" w:cs="Times New Roman"/>
          <w:sz w:val="32"/>
          <w:highlight w:val="none"/>
        </w:rPr>
        <w:t>为</w:t>
      </w:r>
      <w:r>
        <w:rPr>
          <w:rFonts w:hint="eastAsia" w:ascii="Times New Roman" w:hAnsi="Times New Roman" w:eastAsia="仿宋_GB2312" w:cs="Times New Roman"/>
          <w:sz w:val="32"/>
          <w:highlight w:val="none"/>
          <w:lang w:val="en-US" w:eastAsia="zh-CN"/>
        </w:rPr>
        <w:t>越秀区</w:t>
      </w:r>
      <w:r>
        <w:rPr>
          <w:rFonts w:hint="default" w:ascii="Times New Roman" w:hAnsi="Times New Roman" w:eastAsia="仿宋_GB2312" w:cs="Times New Roman"/>
          <w:sz w:val="32"/>
          <w:highlight w:val="none"/>
          <w:lang w:val="en-US" w:eastAsia="zh-CN"/>
        </w:rPr>
        <w:t>民政</w:t>
      </w:r>
      <w:r>
        <w:rPr>
          <w:rFonts w:hint="eastAsia" w:ascii="Times New Roman" w:hAnsi="Times New Roman" w:eastAsia="仿宋_GB2312" w:cs="Times New Roman"/>
          <w:sz w:val="32"/>
          <w:highlight w:val="none"/>
          <w:lang w:val="en-US" w:eastAsia="zh-CN"/>
        </w:rPr>
        <w:t>对象</w:t>
      </w:r>
      <w:r>
        <w:rPr>
          <w:rFonts w:hint="default" w:ascii="Times New Roman" w:hAnsi="Times New Roman" w:eastAsia="仿宋_GB2312" w:cs="Times New Roman"/>
          <w:sz w:val="32"/>
          <w:highlight w:val="none"/>
        </w:rPr>
        <w:t>精神障碍患者提供专业社会工作服务。</w:t>
      </w:r>
      <w:bookmarkStart w:id="1" w:name="_GoBack"/>
      <w:bookmarkEnd w:id="1"/>
    </w:p>
    <w:p w14:paraId="7A0113E2">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二、项目控制价格</w:t>
      </w:r>
    </w:p>
    <w:p w14:paraId="5CFBF664">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广州市越秀区民政局</w:t>
      </w:r>
      <w:r>
        <w:rPr>
          <w:rFonts w:hint="default" w:ascii="Times New Roman" w:hAnsi="Times New Roman" w:eastAsia="仿宋_GB2312" w:cs="Times New Roman"/>
          <w:sz w:val="32"/>
          <w:highlight w:val="none"/>
          <w:lang w:val="en-US" w:eastAsia="zh-CN"/>
        </w:rPr>
        <w:t>202</w:t>
      </w:r>
      <w:r>
        <w:rPr>
          <w:rFonts w:hint="eastAsia" w:eastAsia="仿宋_GB2312" w:cs="Times New Roman"/>
          <w:sz w:val="32"/>
          <w:highlight w:val="none"/>
          <w:lang w:val="en-US" w:eastAsia="zh-CN"/>
        </w:rPr>
        <w:t>5</w:t>
      </w:r>
      <w:r>
        <w:rPr>
          <w:rFonts w:hint="default" w:ascii="Times New Roman" w:hAnsi="Times New Roman" w:eastAsia="仿宋_GB2312" w:cs="Times New Roman"/>
          <w:sz w:val="32"/>
          <w:highlight w:val="none"/>
          <w:lang w:val="en-US" w:eastAsia="zh-CN"/>
        </w:rPr>
        <w:t>年度</w:t>
      </w:r>
      <w:r>
        <w:rPr>
          <w:rFonts w:hint="default" w:ascii="Times New Roman" w:hAnsi="Times New Roman" w:eastAsia="仿宋_GB2312" w:cs="Times New Roman"/>
          <w:sz w:val="32"/>
          <w:highlight w:val="none"/>
        </w:rPr>
        <w:t>精神障碍社区康复服务项目（最高限价）为人民币</w:t>
      </w:r>
      <w:r>
        <w:rPr>
          <w:rFonts w:hint="default" w:ascii="Times New Roman" w:hAnsi="Times New Roman" w:eastAsia="仿宋_GB2312" w:cs="Times New Roman"/>
          <w:sz w:val="32"/>
          <w:highlight w:val="none"/>
          <w:lang w:val="en-US" w:eastAsia="zh-CN"/>
        </w:rPr>
        <w:t>5</w:t>
      </w:r>
      <w:r>
        <w:rPr>
          <w:rFonts w:hint="eastAsia" w:eastAsia="仿宋_GB2312" w:cs="Times New Roman"/>
          <w:sz w:val="32"/>
          <w:highlight w:val="none"/>
          <w:lang w:val="en-US" w:eastAsia="zh-CN"/>
        </w:rPr>
        <w:t>30</w:t>
      </w:r>
      <w:r>
        <w:rPr>
          <w:rFonts w:hint="default" w:ascii="Times New Roman" w:hAnsi="Times New Roman" w:eastAsia="仿宋_GB2312" w:cs="Times New Roman"/>
          <w:sz w:val="32"/>
          <w:highlight w:val="none"/>
        </w:rPr>
        <w:t>,</w:t>
      </w:r>
      <w:r>
        <w:rPr>
          <w:rFonts w:hint="eastAsia" w:eastAsia="仿宋_GB2312" w:cs="Times New Roman"/>
          <w:sz w:val="32"/>
          <w:highlight w:val="none"/>
          <w:lang w:val="en-US" w:eastAsia="zh-CN"/>
        </w:rPr>
        <w:t>0</w:t>
      </w:r>
      <w:r>
        <w:rPr>
          <w:rFonts w:hint="default" w:ascii="Times New Roman" w:hAnsi="Times New Roman" w:eastAsia="仿宋_GB2312" w:cs="Times New Roman"/>
          <w:sz w:val="32"/>
          <w:highlight w:val="none"/>
        </w:rPr>
        <w:t>00元</w:t>
      </w:r>
      <w:r>
        <w:rPr>
          <w:rFonts w:hint="default" w:ascii="Times New Roman" w:hAnsi="Times New Roman" w:eastAsia="仿宋_GB2312" w:cs="Times New Roman"/>
          <w:color w:val="000000"/>
          <w:kern w:val="24"/>
          <w:sz w:val="32"/>
          <w:szCs w:val="32"/>
          <w:highlight w:val="none"/>
          <w:lang w:val="en-US" w:eastAsia="zh-CN" w:bidi="ar-SA"/>
        </w:rPr>
        <w:t>。</w:t>
      </w:r>
      <w:r>
        <w:rPr>
          <w:rFonts w:hint="default" w:ascii="Times New Roman" w:hAnsi="Times New Roman" w:eastAsia="仿宋_GB2312" w:cs="Times New Roman"/>
          <w:sz w:val="32"/>
          <w:highlight w:val="none"/>
        </w:rPr>
        <w:t>报价为总价包干形式，包括但不限于含税、服务费、评估费、工作（管理）人员</w:t>
      </w:r>
      <w:r>
        <w:rPr>
          <w:rFonts w:hint="default" w:ascii="Times New Roman" w:hAnsi="Times New Roman" w:eastAsia="仿宋_GB2312" w:cs="Times New Roman"/>
          <w:sz w:val="32"/>
          <w:highlight w:val="none"/>
          <w:lang w:val="en-US" w:eastAsia="zh-CN"/>
        </w:rPr>
        <w:t>经费</w:t>
      </w:r>
      <w:r>
        <w:rPr>
          <w:rFonts w:hint="default" w:ascii="Times New Roman" w:hAnsi="Times New Roman" w:eastAsia="仿宋_GB2312" w:cs="Times New Roman"/>
          <w:sz w:val="32"/>
          <w:highlight w:val="none"/>
        </w:rPr>
        <w:t>、交通费、培训费、保险费等一切可预见和不可预见的费用</w:t>
      </w:r>
      <w:r>
        <w:rPr>
          <w:rFonts w:hint="default" w:ascii="Times New Roman" w:hAnsi="Times New Roman" w:eastAsia="仿宋_GB2312" w:cs="Times New Roman"/>
          <w:sz w:val="32"/>
          <w:szCs w:val="32"/>
          <w:highlight w:val="none"/>
          <w:lang w:val="en-US" w:eastAsia="zh-CN"/>
        </w:rPr>
        <w:t>。若项目周期内评估实际产生的费用超过中标价，则由承接机构自行承担。</w:t>
      </w:r>
      <w:r>
        <w:rPr>
          <w:rFonts w:hint="default" w:ascii="Times New Roman" w:hAnsi="Times New Roman" w:eastAsia="仿宋_GB2312" w:cs="Times New Roman"/>
          <w:sz w:val="32"/>
          <w:highlight w:val="none"/>
          <w:lang w:val="en-US" w:eastAsia="zh-CN"/>
        </w:rPr>
        <w:t>参选机构中报价</w:t>
      </w:r>
      <w:r>
        <w:rPr>
          <w:rFonts w:hint="default" w:ascii="Times New Roman" w:hAnsi="Times New Roman" w:eastAsia="仿宋_GB2312" w:cs="Times New Roman"/>
          <w:sz w:val="32"/>
          <w:highlight w:val="none"/>
        </w:rPr>
        <w:t>高于上述最高限额的视为报价无效。</w:t>
      </w:r>
    </w:p>
    <w:p w14:paraId="0E27D03B">
      <w:pPr>
        <w:pStyle w:val="14"/>
        <w:keepNext w:val="0"/>
        <w:keepLines w:val="0"/>
        <w:pageBreakBefore w:val="0"/>
        <w:numPr>
          <w:ilvl w:val="0"/>
          <w:numId w:val="1"/>
        </w:numPr>
        <w:kinsoku/>
        <w:wordWrap/>
        <w:overflowPunct/>
        <w:topLinePunct w:val="0"/>
        <w:bidi w:val="0"/>
        <w:adjustRightInd/>
        <w:snapToGrid/>
        <w:spacing w:line="540" w:lineRule="exact"/>
        <w:ind w:left="0" w:firstLine="640" w:firstLineChars="0"/>
        <w:textAlignment w:val="auto"/>
        <w:rPr>
          <w:rFonts w:hint="default" w:ascii="Times New Roman" w:hAnsi="Times New Roman" w:eastAsia="黑体" w:cs="Times New Roman"/>
          <w:bCs/>
          <w:color w:val="000000"/>
          <w:sz w:val="32"/>
          <w:highlight w:val="none"/>
        </w:rPr>
      </w:pPr>
      <w:r>
        <w:rPr>
          <w:rFonts w:hint="default" w:ascii="Times New Roman" w:hAnsi="Times New Roman" w:eastAsia="黑体" w:cs="Times New Roman"/>
          <w:bCs/>
          <w:color w:val="000000"/>
          <w:sz w:val="32"/>
          <w:highlight w:val="none"/>
          <w:lang w:val="en-US" w:eastAsia="zh-CN"/>
        </w:rPr>
        <w:t>服务范围及</w:t>
      </w:r>
      <w:r>
        <w:rPr>
          <w:rFonts w:hint="default" w:ascii="Times New Roman" w:hAnsi="Times New Roman" w:eastAsia="黑体" w:cs="Times New Roman"/>
          <w:bCs/>
          <w:color w:val="000000"/>
          <w:sz w:val="32"/>
          <w:highlight w:val="none"/>
        </w:rPr>
        <w:t>服务对象</w:t>
      </w:r>
    </w:p>
    <w:p w14:paraId="6632986B">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highlight w:val="none"/>
          <w:lang w:val="en-US" w:eastAsia="zh-CN"/>
        </w:rPr>
      </w:pPr>
      <w:r>
        <w:rPr>
          <w:rFonts w:hint="default" w:ascii="Times New Roman" w:hAnsi="Times New Roman" w:eastAsia="仿宋_GB2312" w:cs="Times New Roman"/>
          <w:color w:val="000000"/>
          <w:sz w:val="32"/>
          <w:highlight w:val="none"/>
          <w:lang w:val="en-US" w:eastAsia="zh-CN"/>
        </w:rPr>
        <w:t>项目服务范围为越秀区18个街道全覆盖。项目服务对象为越秀</w:t>
      </w:r>
      <w:r>
        <w:rPr>
          <w:rFonts w:hint="default" w:ascii="Times New Roman" w:hAnsi="Times New Roman" w:eastAsia="仿宋_GB2312" w:cs="Times New Roman"/>
          <w:color w:val="000000"/>
          <w:sz w:val="32"/>
          <w:highlight w:val="none"/>
        </w:rPr>
        <w:t>区户籍、</w:t>
      </w:r>
      <w:r>
        <w:rPr>
          <w:rFonts w:hint="default" w:ascii="Times New Roman" w:hAnsi="Times New Roman" w:eastAsia="仿宋_GB2312" w:cs="Times New Roman"/>
          <w:color w:val="000000"/>
          <w:sz w:val="32"/>
          <w:highlight w:val="none"/>
        </w:rPr>
        <w:t>在</w:t>
      </w:r>
      <w:r>
        <w:rPr>
          <w:rFonts w:hint="default" w:ascii="Times New Roman" w:hAnsi="Times New Roman" w:eastAsia="仿宋_GB2312" w:cs="Times New Roman"/>
          <w:color w:val="000000"/>
          <w:sz w:val="32"/>
          <w:highlight w:val="none"/>
          <w:lang w:val="en-US" w:eastAsia="zh-CN"/>
        </w:rPr>
        <w:t>越秀区</w:t>
      </w:r>
      <w:r>
        <w:rPr>
          <w:rFonts w:hint="eastAsia" w:eastAsia="仿宋_GB2312" w:cs="Times New Roman"/>
          <w:color w:val="000000"/>
          <w:sz w:val="32"/>
          <w:highlight w:val="none"/>
          <w:lang w:val="en-US" w:eastAsia="zh-CN"/>
        </w:rPr>
        <w:t>常住</w:t>
      </w:r>
      <w:r>
        <w:rPr>
          <w:rFonts w:hint="default" w:ascii="Times New Roman" w:hAnsi="Times New Roman" w:eastAsia="仿宋_GB2312" w:cs="Times New Roman"/>
          <w:color w:val="000000"/>
          <w:sz w:val="32"/>
          <w:highlight w:val="none"/>
        </w:rPr>
        <w:t>，</w:t>
      </w:r>
      <w:r>
        <w:rPr>
          <w:rFonts w:hint="default" w:ascii="Times New Roman" w:hAnsi="Times New Roman" w:eastAsia="仿宋_GB2312" w:cs="Times New Roman"/>
          <w:color w:val="000000"/>
          <w:sz w:val="32"/>
          <w:highlight w:val="none"/>
        </w:rPr>
        <w:t>病情稳定且无肇事肇祸倾向，</w:t>
      </w:r>
      <w:r>
        <w:rPr>
          <w:rFonts w:hint="default" w:ascii="Times New Roman" w:hAnsi="Times New Roman" w:eastAsia="仿宋_GB2312" w:cs="Times New Roman"/>
          <w:color w:val="000000"/>
          <w:sz w:val="32"/>
          <w:highlight w:val="none"/>
          <w:lang w:val="en-US" w:eastAsia="zh-CN"/>
        </w:rPr>
        <w:t>通过基线评估可以参加社区康复的民政对象精神障碍患者（其中民政对象包括特困</w:t>
      </w:r>
      <w:r>
        <w:rPr>
          <w:rFonts w:hint="eastAsia" w:eastAsia="仿宋_GB2312" w:cs="Times New Roman"/>
          <w:color w:val="000000"/>
          <w:sz w:val="32"/>
          <w:highlight w:val="none"/>
          <w:lang w:val="en-US" w:eastAsia="zh-CN"/>
        </w:rPr>
        <w:t>人员</w:t>
      </w:r>
      <w:r>
        <w:rPr>
          <w:rFonts w:hint="default" w:ascii="Times New Roman" w:hAnsi="Times New Roman" w:eastAsia="仿宋_GB2312" w:cs="Times New Roman"/>
          <w:color w:val="000000"/>
          <w:sz w:val="32"/>
          <w:highlight w:val="none"/>
          <w:lang w:val="en-US" w:eastAsia="zh-CN"/>
        </w:rPr>
        <w:t>、</w:t>
      </w:r>
      <w:r>
        <w:rPr>
          <w:rFonts w:hint="eastAsia" w:eastAsia="仿宋_GB2312" w:cs="Times New Roman"/>
          <w:color w:val="000000"/>
          <w:sz w:val="32"/>
          <w:highlight w:val="none"/>
          <w:lang w:val="en-US" w:eastAsia="zh-CN"/>
        </w:rPr>
        <w:t>最低生活保障家庭成员</w:t>
      </w:r>
      <w:r>
        <w:rPr>
          <w:rFonts w:hint="default" w:ascii="Times New Roman" w:hAnsi="Times New Roman" w:eastAsia="仿宋_GB2312" w:cs="Times New Roman"/>
          <w:color w:val="000000"/>
          <w:sz w:val="32"/>
          <w:highlight w:val="none"/>
          <w:lang w:val="en-US" w:eastAsia="zh-CN"/>
        </w:rPr>
        <w:t>、</w:t>
      </w:r>
      <w:r>
        <w:rPr>
          <w:rFonts w:hint="eastAsia" w:eastAsia="仿宋_GB2312" w:cs="Times New Roman"/>
          <w:color w:val="000000"/>
          <w:sz w:val="32"/>
          <w:highlight w:val="none"/>
          <w:lang w:val="en-US" w:eastAsia="zh-CN"/>
        </w:rPr>
        <w:t>最低生活保障</w:t>
      </w:r>
      <w:r>
        <w:rPr>
          <w:rFonts w:hint="default" w:ascii="Times New Roman" w:hAnsi="Times New Roman" w:eastAsia="仿宋_GB2312" w:cs="Times New Roman"/>
          <w:color w:val="000000"/>
          <w:sz w:val="32"/>
          <w:highlight w:val="none"/>
          <w:lang w:val="en-US" w:eastAsia="zh-CN"/>
        </w:rPr>
        <w:t>边缘</w:t>
      </w:r>
      <w:r>
        <w:rPr>
          <w:rFonts w:hint="eastAsia" w:eastAsia="仿宋_GB2312" w:cs="Times New Roman"/>
          <w:color w:val="000000"/>
          <w:sz w:val="32"/>
          <w:highlight w:val="none"/>
          <w:lang w:val="en-US" w:eastAsia="zh-CN"/>
        </w:rPr>
        <w:t>家庭成员</w:t>
      </w:r>
      <w:r>
        <w:rPr>
          <w:rFonts w:hint="default" w:ascii="Times New Roman" w:hAnsi="Times New Roman" w:eastAsia="仿宋_GB2312" w:cs="Times New Roman"/>
          <w:color w:val="000000"/>
          <w:sz w:val="32"/>
          <w:highlight w:val="none"/>
          <w:lang w:val="en-US" w:eastAsia="zh-CN"/>
        </w:rPr>
        <w:t>、支出型困难家庭</w:t>
      </w:r>
      <w:r>
        <w:rPr>
          <w:rFonts w:hint="eastAsia" w:eastAsia="仿宋_GB2312" w:cs="Times New Roman"/>
          <w:color w:val="000000"/>
          <w:sz w:val="32"/>
          <w:highlight w:val="none"/>
          <w:lang w:val="en-US" w:eastAsia="zh-CN"/>
        </w:rPr>
        <w:t>成员</w:t>
      </w:r>
      <w:r>
        <w:rPr>
          <w:rFonts w:hint="default" w:ascii="Times New Roman" w:hAnsi="Times New Roman" w:eastAsia="仿宋_GB2312" w:cs="Times New Roman"/>
          <w:color w:val="000000"/>
          <w:sz w:val="32"/>
          <w:highlight w:val="none"/>
          <w:lang w:val="en-US" w:eastAsia="zh-CN"/>
        </w:rPr>
        <w:t>、孤寡</w:t>
      </w:r>
      <w:r>
        <w:rPr>
          <w:rFonts w:hint="eastAsia" w:eastAsia="仿宋_GB2312" w:cs="Times New Roman"/>
          <w:color w:val="000000"/>
          <w:sz w:val="32"/>
          <w:highlight w:val="none"/>
          <w:lang w:val="en-US" w:eastAsia="zh-CN"/>
        </w:rPr>
        <w:t>老人</w:t>
      </w:r>
      <w:r>
        <w:rPr>
          <w:rFonts w:hint="default" w:ascii="Times New Roman" w:hAnsi="Times New Roman" w:eastAsia="仿宋_GB2312" w:cs="Times New Roman"/>
          <w:color w:val="000000"/>
          <w:sz w:val="32"/>
          <w:highlight w:val="none"/>
          <w:lang w:val="en-US" w:eastAsia="zh-CN"/>
        </w:rPr>
        <w:t>、独居</w:t>
      </w:r>
      <w:r>
        <w:rPr>
          <w:rFonts w:hint="eastAsia" w:eastAsia="仿宋_GB2312" w:cs="Times New Roman"/>
          <w:color w:val="000000"/>
          <w:sz w:val="32"/>
          <w:highlight w:val="none"/>
          <w:lang w:val="en-US" w:eastAsia="zh-CN"/>
        </w:rPr>
        <w:t>老人</w:t>
      </w:r>
      <w:r>
        <w:rPr>
          <w:rFonts w:hint="default" w:ascii="Times New Roman" w:hAnsi="Times New Roman" w:eastAsia="仿宋_GB2312" w:cs="Times New Roman"/>
          <w:color w:val="000000"/>
          <w:sz w:val="32"/>
          <w:highlight w:val="none"/>
          <w:lang w:val="en-US" w:eastAsia="zh-CN"/>
        </w:rPr>
        <w:t>、空巢老人、困境儿童等民政兜底保障对象）。</w:t>
      </w:r>
      <w:r>
        <w:rPr>
          <w:rFonts w:hint="eastAsia" w:eastAsia="仿宋_GB2312" w:cs="Times New Roman"/>
          <w:color w:val="000000"/>
          <w:sz w:val="32"/>
          <w:highlight w:val="none"/>
          <w:lang w:val="en-US" w:eastAsia="zh-CN"/>
        </w:rPr>
        <w:t>为保障服务成效，服务期间服务对象退出民政对象身份的，不影响继续继续享受社区康复服务。</w:t>
      </w:r>
    </w:p>
    <w:p w14:paraId="274EFB08">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highlight w:val="none"/>
          <w:lang w:val="en-US" w:eastAsia="zh-CN"/>
        </w:rPr>
      </w:pPr>
      <w:r>
        <w:rPr>
          <w:rFonts w:hint="default" w:ascii="Times New Roman" w:hAnsi="Times New Roman" w:eastAsia="仿宋_GB2312" w:cs="Times New Roman"/>
          <w:color w:val="000000"/>
          <w:sz w:val="32"/>
          <w:highlight w:val="none"/>
          <w:lang w:val="en-US" w:eastAsia="zh-CN"/>
        </w:rPr>
        <w:t>根据服务对象病程长短、康复程度及回归社会意愿，服务对象分为三类：</w:t>
      </w:r>
    </w:p>
    <w:p w14:paraId="4C58A5AB">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highlight w:val="none"/>
          <w:lang w:val="en-US" w:eastAsia="zh-CN"/>
        </w:rPr>
      </w:pPr>
      <w:r>
        <w:rPr>
          <w:rFonts w:hint="default" w:ascii="Times New Roman" w:hAnsi="Times New Roman" w:eastAsia="仿宋_GB2312" w:cs="Times New Roman"/>
          <w:color w:val="000000"/>
          <w:sz w:val="32"/>
          <w:highlight w:val="none"/>
          <w:lang w:val="en-US" w:eastAsia="zh-CN"/>
        </w:rPr>
        <w:t>（一）甲类服务对象一般指已接受系统康复训练、回归社会预期好且复元意愿强烈的服务对象。</w:t>
      </w:r>
    </w:p>
    <w:p w14:paraId="38CA1D62">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highlight w:val="none"/>
          <w:lang w:val="en-US" w:eastAsia="zh-CN"/>
        </w:rPr>
      </w:pPr>
      <w:r>
        <w:rPr>
          <w:rFonts w:hint="default" w:ascii="Times New Roman" w:hAnsi="Times New Roman" w:eastAsia="仿宋_GB2312" w:cs="Times New Roman"/>
          <w:color w:val="000000"/>
          <w:sz w:val="32"/>
          <w:highlight w:val="none"/>
          <w:lang w:val="en-US" w:eastAsia="zh-CN"/>
        </w:rPr>
        <w:t>（二）乙类服务对象一般指病程短、康复预期较好或接受过相关康复训练且复元意愿较强的服务对象。</w:t>
      </w:r>
    </w:p>
    <w:p w14:paraId="3EBE6236">
      <w:pPr>
        <w:keepNext w:val="0"/>
        <w:keepLines w:val="0"/>
        <w:pageBreakBefore w:val="0"/>
        <w:kinsoku/>
        <w:wordWrap/>
        <w:overflowPunct/>
        <w:topLinePunct w:val="0"/>
        <w:autoSpaceDE/>
        <w:autoSpaceDN/>
        <w:bidi w:val="0"/>
        <w:adjustRightInd/>
        <w:snapToGrid/>
        <w:spacing w:line="540" w:lineRule="exact"/>
        <w:ind w:left="0" w:firstLine="640" w:firstLineChars="200"/>
        <w:jc w:val="both"/>
        <w:textAlignment w:val="auto"/>
        <w:rPr>
          <w:rFonts w:hint="default" w:ascii="Times New Roman" w:hAnsi="Times New Roman" w:eastAsia="仿宋_GB2312" w:cs="Times New Roman"/>
          <w:color w:val="000000"/>
          <w:sz w:val="32"/>
          <w:highlight w:val="none"/>
          <w:lang w:val="en-US" w:eastAsia="zh-CN"/>
        </w:rPr>
      </w:pPr>
      <w:r>
        <w:rPr>
          <w:rFonts w:hint="default" w:ascii="Times New Roman" w:hAnsi="Times New Roman" w:eastAsia="仿宋_GB2312" w:cs="Times New Roman"/>
          <w:color w:val="000000"/>
          <w:sz w:val="32"/>
          <w:highlight w:val="none"/>
          <w:lang w:val="en-US" w:eastAsia="zh-CN"/>
        </w:rPr>
        <w:t>（三）丙类服务对象一般指病程较长、未接受系统康复训练或复元意愿不强的服务对象。</w:t>
      </w:r>
    </w:p>
    <w:p w14:paraId="0AF5FA1C">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四、服务目标</w:t>
      </w:r>
    </w:p>
    <w:p w14:paraId="6CDEC32F">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仿宋_GB2312" w:cs="Times New Roman"/>
          <w:color w:val="000000"/>
          <w:sz w:val="32"/>
          <w:highlight w:val="none"/>
          <w:lang w:val="en-US" w:eastAsia="zh-CN"/>
        </w:rPr>
      </w:pPr>
      <w:r>
        <w:rPr>
          <w:rFonts w:hint="eastAsia" w:eastAsia="仿宋_GB2312" w:cs="Times New Roman"/>
          <w:bCs/>
          <w:sz w:val="32"/>
          <w:highlight w:val="none"/>
          <w:lang w:eastAsia="zh-CN"/>
        </w:rPr>
        <w:t>（</w:t>
      </w:r>
      <w:r>
        <w:rPr>
          <w:rFonts w:hint="eastAsia" w:eastAsia="仿宋_GB2312" w:cs="Times New Roman"/>
          <w:bCs/>
          <w:sz w:val="32"/>
          <w:highlight w:val="none"/>
          <w:lang w:val="en-US" w:eastAsia="zh-CN"/>
        </w:rPr>
        <w:t>一</w:t>
      </w:r>
      <w:r>
        <w:rPr>
          <w:rFonts w:hint="eastAsia" w:eastAsia="仿宋_GB2312" w:cs="Times New Roman"/>
          <w:bCs/>
          <w:sz w:val="32"/>
          <w:highlight w:val="none"/>
          <w:lang w:eastAsia="zh-CN"/>
        </w:rPr>
        <w:t>）</w:t>
      </w:r>
      <w:r>
        <w:rPr>
          <w:rFonts w:hint="default" w:ascii="Times New Roman" w:hAnsi="Times New Roman" w:eastAsia="仿宋_GB2312" w:cs="Times New Roman"/>
          <w:bCs/>
          <w:sz w:val="32"/>
          <w:highlight w:val="none"/>
        </w:rPr>
        <w:t>全面了解</w:t>
      </w:r>
      <w:r>
        <w:rPr>
          <w:rFonts w:hint="default" w:ascii="Times New Roman" w:hAnsi="Times New Roman" w:eastAsia="仿宋_GB2312" w:cs="Times New Roman"/>
          <w:color w:val="000000"/>
          <w:sz w:val="32"/>
          <w:highlight w:val="none"/>
          <w:lang w:val="en-US" w:eastAsia="zh-CN"/>
        </w:rPr>
        <w:t>越秀</w:t>
      </w:r>
      <w:r>
        <w:rPr>
          <w:rFonts w:hint="default" w:ascii="Times New Roman" w:hAnsi="Times New Roman" w:eastAsia="仿宋_GB2312" w:cs="Times New Roman"/>
          <w:color w:val="000000"/>
          <w:sz w:val="32"/>
          <w:highlight w:val="none"/>
        </w:rPr>
        <w:t>区</w:t>
      </w:r>
      <w:r>
        <w:rPr>
          <w:rFonts w:hint="default" w:ascii="Times New Roman" w:hAnsi="Times New Roman" w:eastAsia="仿宋_GB2312" w:cs="Times New Roman"/>
          <w:color w:val="000000"/>
          <w:sz w:val="32"/>
          <w:highlight w:val="none"/>
          <w:lang w:val="en-US" w:eastAsia="zh-CN"/>
        </w:rPr>
        <w:t>民政对象精神障碍患者康复服务需求，完善相关工作机制和指引，提供针对性、个性化专业服务。</w:t>
      </w:r>
    </w:p>
    <w:p w14:paraId="38893411">
      <w:pPr>
        <w:keepNext w:val="0"/>
        <w:keepLines w:val="0"/>
        <w:pageBreakBefore w:val="0"/>
        <w:kinsoku/>
        <w:wordWrap/>
        <w:overflowPunct/>
        <w:topLinePunct w:val="0"/>
        <w:bidi w:val="0"/>
        <w:adjustRightInd/>
        <w:snapToGrid/>
        <w:spacing w:line="540" w:lineRule="exact"/>
        <w:ind w:left="0" w:firstLine="640" w:firstLineChars="200"/>
        <w:textAlignment w:val="auto"/>
        <w:rPr>
          <w:rFonts w:hint="eastAsia" w:eastAsia="仿宋_GB2312" w:cs="Times New Roman"/>
          <w:bCs/>
          <w:sz w:val="32"/>
          <w:highlight w:val="none"/>
          <w:lang w:val="en-US" w:eastAsia="zh-CN"/>
        </w:rPr>
      </w:pPr>
      <w:bookmarkStart w:id="0" w:name="_Hlk98323819"/>
      <w:r>
        <w:rPr>
          <w:rFonts w:hint="eastAsia" w:eastAsia="仿宋_GB2312" w:cs="Times New Roman"/>
          <w:sz w:val="32"/>
          <w:highlight w:val="none"/>
          <w:lang w:eastAsia="zh-CN"/>
        </w:rPr>
        <w:t>（</w:t>
      </w:r>
      <w:r>
        <w:rPr>
          <w:rFonts w:hint="eastAsia" w:eastAsia="仿宋_GB2312" w:cs="Times New Roman"/>
          <w:sz w:val="32"/>
          <w:highlight w:val="none"/>
          <w:lang w:val="en-US" w:eastAsia="zh-CN"/>
        </w:rPr>
        <w:t>二</w:t>
      </w:r>
      <w:r>
        <w:rPr>
          <w:rFonts w:hint="eastAsia" w:eastAsia="仿宋_GB2312" w:cs="Times New Roman"/>
          <w:sz w:val="32"/>
          <w:highlight w:val="none"/>
          <w:lang w:eastAsia="zh-CN"/>
        </w:rPr>
        <w:t>）</w:t>
      </w:r>
      <w:r>
        <w:rPr>
          <w:rFonts w:hint="default" w:ascii="Times New Roman" w:hAnsi="Times New Roman" w:eastAsia="仿宋_GB2312" w:cs="Times New Roman"/>
          <w:sz w:val="32"/>
          <w:highlight w:val="none"/>
        </w:rPr>
        <w:t>项目</w:t>
      </w:r>
      <w:bookmarkEnd w:id="0"/>
      <w:r>
        <w:rPr>
          <w:rFonts w:hint="default" w:ascii="Times New Roman" w:hAnsi="Times New Roman" w:eastAsia="仿宋_GB2312" w:cs="Times New Roman"/>
          <w:bCs/>
          <w:sz w:val="32"/>
          <w:highlight w:val="none"/>
        </w:rPr>
        <w:t>服务对象</w:t>
      </w:r>
      <w:r>
        <w:rPr>
          <w:rFonts w:hint="default" w:ascii="Times New Roman" w:hAnsi="Times New Roman" w:eastAsia="仿宋_GB2312" w:cs="Times New Roman"/>
          <w:bCs/>
          <w:sz w:val="32"/>
          <w:highlight w:val="none"/>
          <w:lang w:val="en-US" w:eastAsia="zh-CN"/>
        </w:rPr>
        <w:t>总人数换算应不低于</w:t>
      </w:r>
      <w:r>
        <w:rPr>
          <w:rFonts w:hint="eastAsia" w:eastAsia="仿宋_GB2312" w:cs="Times New Roman"/>
          <w:bCs/>
          <w:sz w:val="32"/>
          <w:highlight w:val="none"/>
          <w:lang w:val="en-US" w:eastAsia="zh-CN"/>
        </w:rPr>
        <w:t>152</w:t>
      </w:r>
      <w:r>
        <w:rPr>
          <w:rFonts w:hint="default" w:ascii="Times New Roman" w:hAnsi="Times New Roman" w:eastAsia="仿宋_GB2312" w:cs="Times New Roman"/>
          <w:bCs/>
          <w:sz w:val="32"/>
          <w:highlight w:val="none"/>
          <w:lang w:val="en-US" w:eastAsia="zh-CN"/>
        </w:rPr>
        <w:t>个参数，且人数不低于100人（</w:t>
      </w:r>
      <w:r>
        <w:rPr>
          <w:rFonts w:hint="default" w:ascii="Times New Roman" w:hAnsi="Times New Roman" w:eastAsia="仿宋_GB2312" w:cs="Times New Roman"/>
          <w:b/>
          <w:bCs w:val="0"/>
          <w:sz w:val="32"/>
          <w:highlight w:val="none"/>
          <w:lang w:val="en-US" w:eastAsia="zh-CN"/>
        </w:rPr>
        <w:t>其中每名丙类对象计算1个参数，乙类对象计算2.28个参数，甲类对象计算3.33个参数，根据基线评估结果确定对象分类</w:t>
      </w:r>
      <w:r>
        <w:rPr>
          <w:rFonts w:hint="default" w:ascii="Times New Roman" w:hAnsi="Times New Roman" w:eastAsia="仿宋_GB2312" w:cs="Times New Roman"/>
          <w:bCs/>
          <w:sz w:val="32"/>
          <w:highlight w:val="none"/>
          <w:lang w:val="en-US" w:eastAsia="zh-CN"/>
        </w:rPr>
        <w:t>）</w:t>
      </w:r>
      <w:r>
        <w:rPr>
          <w:rFonts w:hint="eastAsia" w:eastAsia="仿宋_GB2312" w:cs="Times New Roman"/>
          <w:bCs/>
          <w:sz w:val="32"/>
          <w:highlight w:val="none"/>
          <w:lang w:val="en-US" w:eastAsia="zh-CN"/>
        </w:rPr>
        <w:t>。</w:t>
      </w:r>
      <w:r>
        <w:rPr>
          <w:rFonts w:hint="eastAsia" w:eastAsia="仿宋_GB2312" w:cs="Times New Roman"/>
          <w:bCs/>
          <w:sz w:val="32"/>
          <w:highlight w:val="none"/>
          <w:lang w:val="en-US" w:eastAsia="zh-CN"/>
        </w:rPr>
        <w:t>同一服务对象享受民政、卫健、残联等部门的服务项目内容应避免重复。</w:t>
      </w:r>
    </w:p>
    <w:p w14:paraId="28716F96">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bCs/>
          <w:color w:val="000000"/>
          <w:sz w:val="32"/>
          <w:highlight w:val="none"/>
        </w:rPr>
        <w:t>（三）</w:t>
      </w:r>
      <w:r>
        <w:rPr>
          <w:rFonts w:hint="default" w:ascii="Times New Roman" w:hAnsi="Times New Roman" w:eastAsia="仿宋_GB2312" w:cs="Times New Roman"/>
          <w:color w:val="000000"/>
          <w:sz w:val="32"/>
          <w:szCs w:val="32"/>
          <w:highlight w:val="none"/>
        </w:rPr>
        <w:t>挖掘</w:t>
      </w:r>
      <w:r>
        <w:rPr>
          <w:rFonts w:hint="default" w:ascii="Times New Roman" w:hAnsi="Times New Roman" w:eastAsia="仿宋_GB2312" w:cs="Times New Roman"/>
          <w:color w:val="000000"/>
          <w:sz w:val="32"/>
          <w:szCs w:val="32"/>
          <w:highlight w:val="none"/>
          <w:lang w:val="en-US" w:eastAsia="zh-CN"/>
        </w:rPr>
        <w:t>越秀</w:t>
      </w:r>
      <w:r>
        <w:rPr>
          <w:rFonts w:hint="default" w:ascii="Times New Roman" w:hAnsi="Times New Roman" w:eastAsia="仿宋_GB2312" w:cs="Times New Roman"/>
          <w:color w:val="000000"/>
          <w:sz w:val="32"/>
          <w:szCs w:val="32"/>
          <w:highlight w:val="none"/>
        </w:rPr>
        <w:t>区域特点打造精神障碍社区康复“一区一品牌”</w:t>
      </w:r>
      <w:r>
        <w:rPr>
          <w:rFonts w:hint="default" w:ascii="Times New Roman" w:hAnsi="Times New Roman" w:eastAsia="仿宋_GB2312" w:cs="Times New Roman"/>
          <w:color w:val="000000"/>
          <w:sz w:val="32"/>
          <w:szCs w:val="32"/>
          <w:highlight w:val="none"/>
          <w:lang w:eastAsia="zh-CN"/>
        </w:rPr>
        <w:t>，</w:t>
      </w:r>
      <w:r>
        <w:rPr>
          <w:rFonts w:hint="default" w:ascii="Times New Roman" w:hAnsi="Times New Roman" w:eastAsia="仿宋_GB2312" w:cs="Times New Roman"/>
          <w:color w:val="000000"/>
          <w:sz w:val="32"/>
          <w:szCs w:val="32"/>
          <w:highlight w:val="none"/>
        </w:rPr>
        <w:t>构建精神卫生医疗机构、精神障碍社区康复服务机构等不同层级、不同机构的服务转介机制。</w:t>
      </w:r>
    </w:p>
    <w:p w14:paraId="56E84860">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五、服务流程</w:t>
      </w:r>
    </w:p>
    <w:p w14:paraId="26193201">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根据《精神障碍社区康复服务工作规范》要求，承接服务项目的机构须按照人员转入、登记建档、功能评估、提供针对性康复服务、阶段性评估、人员转出及特殊情况处置等工作流程开展服务。</w:t>
      </w:r>
    </w:p>
    <w:p w14:paraId="36B2D7C6">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六、服务形式</w:t>
      </w:r>
    </w:p>
    <w:p w14:paraId="69223721">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cs="Times New Roman"/>
          <w:color w:val="000000"/>
          <w:highlight w:val="none"/>
        </w:rPr>
      </w:pPr>
      <w:r>
        <w:rPr>
          <w:rFonts w:hint="default" w:ascii="Times New Roman" w:hAnsi="Times New Roman" w:eastAsia="仿宋_GB2312" w:cs="Times New Roman"/>
          <w:color w:val="000000"/>
          <w:sz w:val="32"/>
          <w:szCs w:val="32"/>
          <w:highlight w:val="none"/>
          <w:lang w:val="en-US" w:eastAsia="zh-CN"/>
        </w:rPr>
        <w:t>承接</w:t>
      </w:r>
      <w:r>
        <w:rPr>
          <w:rFonts w:hint="default" w:ascii="Times New Roman" w:hAnsi="Times New Roman" w:eastAsia="仿宋_GB2312" w:cs="Times New Roman"/>
          <w:color w:val="000000"/>
          <w:sz w:val="32"/>
          <w:szCs w:val="32"/>
          <w:highlight w:val="none"/>
        </w:rPr>
        <w:t>机构根据精神障碍患者的服务需求，可采取灵活多样服务形式，可以</w:t>
      </w:r>
      <w:r>
        <w:rPr>
          <w:rFonts w:hint="default" w:ascii="Times New Roman" w:hAnsi="Times New Roman" w:eastAsia="仿宋_GB2312" w:cs="Times New Roman"/>
          <w:color w:val="000000"/>
          <w:sz w:val="32"/>
          <w:szCs w:val="32"/>
          <w:highlight w:val="none"/>
          <w:lang w:val="en-US" w:eastAsia="zh-CN"/>
        </w:rPr>
        <w:t>通过</w:t>
      </w:r>
      <w:r>
        <w:rPr>
          <w:rFonts w:hint="default" w:ascii="Times New Roman" w:hAnsi="Times New Roman" w:eastAsia="仿宋_GB2312" w:cs="Times New Roman"/>
          <w:color w:val="000000"/>
          <w:sz w:val="32"/>
          <w:szCs w:val="32"/>
          <w:highlight w:val="none"/>
        </w:rPr>
        <w:t>集体活动、</w:t>
      </w:r>
      <w:r>
        <w:rPr>
          <w:rFonts w:hint="default" w:ascii="Times New Roman" w:hAnsi="Times New Roman" w:eastAsia="仿宋_GB2312" w:cs="Times New Roman"/>
          <w:color w:val="000000"/>
          <w:sz w:val="32"/>
          <w:szCs w:val="32"/>
          <w:highlight w:val="none"/>
          <w:lang w:val="en-US" w:eastAsia="zh-CN"/>
        </w:rPr>
        <w:t>一对一、</w:t>
      </w:r>
      <w:r>
        <w:rPr>
          <w:rFonts w:hint="default" w:ascii="Times New Roman" w:hAnsi="Times New Roman" w:eastAsia="仿宋_GB2312" w:cs="Times New Roman"/>
          <w:color w:val="000000"/>
          <w:sz w:val="32"/>
          <w:szCs w:val="32"/>
          <w:highlight w:val="none"/>
        </w:rPr>
        <w:t>集中</w:t>
      </w:r>
      <w:r>
        <w:rPr>
          <w:rFonts w:hint="default" w:ascii="Times New Roman" w:hAnsi="Times New Roman" w:eastAsia="仿宋_GB2312" w:cs="Times New Roman"/>
          <w:color w:val="000000"/>
          <w:sz w:val="32"/>
          <w:szCs w:val="32"/>
          <w:highlight w:val="none"/>
          <w:lang w:val="en-US" w:eastAsia="zh-CN"/>
        </w:rPr>
        <w:t>训练</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探访、讲座、电访</w:t>
      </w:r>
      <w:r>
        <w:rPr>
          <w:rFonts w:hint="default" w:ascii="Times New Roman" w:hAnsi="Times New Roman" w:eastAsia="仿宋_GB2312" w:cs="Times New Roman"/>
          <w:color w:val="000000"/>
          <w:sz w:val="32"/>
          <w:szCs w:val="32"/>
          <w:highlight w:val="none"/>
        </w:rPr>
        <w:t>等</w:t>
      </w:r>
      <w:r>
        <w:rPr>
          <w:rFonts w:hint="default" w:ascii="Times New Roman" w:hAnsi="Times New Roman" w:eastAsia="仿宋_GB2312" w:cs="Times New Roman"/>
          <w:color w:val="000000"/>
          <w:sz w:val="32"/>
          <w:szCs w:val="32"/>
          <w:highlight w:val="none"/>
          <w:lang w:val="en-US" w:eastAsia="zh-CN"/>
        </w:rPr>
        <w:t>形式开展服务</w:t>
      </w:r>
      <w:r>
        <w:rPr>
          <w:rFonts w:hint="default" w:ascii="Times New Roman" w:hAnsi="Times New Roman" w:eastAsia="仿宋_GB2312" w:cs="Times New Roman"/>
          <w:color w:val="000000"/>
          <w:sz w:val="32"/>
          <w:szCs w:val="32"/>
          <w:highlight w:val="none"/>
        </w:rPr>
        <w:t>。</w:t>
      </w:r>
    </w:p>
    <w:p w14:paraId="760DAD4F">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sz w:val="32"/>
          <w:szCs w:val="32"/>
          <w:highlight w:val="none"/>
          <w:lang w:val="en-US"/>
        </w:rPr>
      </w:pPr>
      <w:r>
        <w:rPr>
          <w:rFonts w:hint="default" w:ascii="Times New Roman" w:hAnsi="Times New Roman" w:eastAsia="黑体" w:cs="Times New Roman"/>
          <w:sz w:val="32"/>
          <w:szCs w:val="32"/>
          <w:highlight w:val="none"/>
        </w:rPr>
        <w:t>七、</w:t>
      </w:r>
      <w:r>
        <w:rPr>
          <w:rFonts w:hint="default" w:ascii="Times New Roman" w:hAnsi="Times New Roman" w:eastAsia="黑体" w:cs="Times New Roman"/>
          <w:sz w:val="32"/>
          <w:szCs w:val="32"/>
          <w:highlight w:val="none"/>
          <w:lang w:val="en-US" w:eastAsia="zh-CN"/>
        </w:rPr>
        <w:t>服务指标</w:t>
      </w:r>
    </w:p>
    <w:p w14:paraId="1F4B4DB0">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楷体_GB2312" w:cs="Times New Roman"/>
          <w:kern w:val="0"/>
          <w:sz w:val="32"/>
          <w:szCs w:val="32"/>
          <w:highlight w:val="none"/>
          <w:lang w:val="en-US" w:eastAsia="zh-CN" w:bidi="ar"/>
        </w:rPr>
      </w:pPr>
      <w:r>
        <w:rPr>
          <w:rFonts w:hint="default" w:ascii="Times New Roman" w:hAnsi="Times New Roman" w:eastAsia="楷体_GB2312" w:cs="Times New Roman"/>
          <w:kern w:val="0"/>
          <w:sz w:val="32"/>
          <w:szCs w:val="32"/>
          <w:highlight w:val="none"/>
          <w:lang w:eastAsia="zh-CN" w:bidi="ar"/>
        </w:rPr>
        <w:t>（</w:t>
      </w:r>
      <w:r>
        <w:rPr>
          <w:rFonts w:hint="default" w:ascii="Times New Roman" w:hAnsi="Times New Roman" w:eastAsia="楷体_GB2312" w:cs="Times New Roman"/>
          <w:kern w:val="0"/>
          <w:sz w:val="32"/>
          <w:szCs w:val="32"/>
          <w:highlight w:val="none"/>
          <w:lang w:val="en-US" w:eastAsia="zh-CN" w:bidi="ar"/>
        </w:rPr>
        <w:t>一</w:t>
      </w:r>
      <w:r>
        <w:rPr>
          <w:rFonts w:hint="default" w:ascii="Times New Roman" w:hAnsi="Times New Roman" w:eastAsia="楷体_GB2312" w:cs="Times New Roman"/>
          <w:kern w:val="0"/>
          <w:sz w:val="32"/>
          <w:szCs w:val="32"/>
          <w:highlight w:val="none"/>
          <w:lang w:eastAsia="zh-CN" w:bidi="ar"/>
        </w:rPr>
        <w:t>）</w:t>
      </w:r>
      <w:r>
        <w:rPr>
          <w:rFonts w:hint="default" w:ascii="Times New Roman" w:hAnsi="Times New Roman" w:eastAsia="楷体_GB2312" w:cs="Times New Roman"/>
          <w:kern w:val="0"/>
          <w:sz w:val="32"/>
          <w:szCs w:val="32"/>
          <w:highlight w:val="none"/>
          <w:lang w:val="en-US" w:eastAsia="zh-CN" w:bidi="ar"/>
        </w:rPr>
        <w:t>服务内容</w:t>
      </w:r>
    </w:p>
    <w:p w14:paraId="1E9CF89E">
      <w:pPr>
        <w:keepNext w:val="0"/>
        <w:keepLines w:val="0"/>
        <w:pageBreakBefore w:val="0"/>
        <w:kinsoku/>
        <w:wordWrap/>
        <w:overflowPunct/>
        <w:topLinePunct w:val="0"/>
        <w:bidi w:val="0"/>
        <w:adjustRightInd/>
        <w:snapToGrid/>
        <w:spacing w:line="540" w:lineRule="exact"/>
        <w:ind w:left="0" w:firstLine="643"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b/>
          <w:bCs/>
          <w:kern w:val="0"/>
          <w:sz w:val="32"/>
          <w:szCs w:val="32"/>
          <w:highlight w:val="none"/>
          <w:lang w:val="en-US" w:eastAsia="zh-CN" w:bidi="ar"/>
        </w:rPr>
        <w:t>1.基础性康复项目：</w:t>
      </w:r>
      <w:r>
        <w:rPr>
          <w:rFonts w:hint="default" w:ascii="Times New Roman" w:hAnsi="Times New Roman" w:eastAsia="仿宋_GB2312" w:cs="Times New Roman"/>
          <w:kern w:val="0"/>
          <w:sz w:val="32"/>
          <w:szCs w:val="32"/>
          <w:highlight w:val="none"/>
          <w:lang w:val="en-US" w:eastAsia="zh-CN" w:bidi="ar"/>
        </w:rPr>
        <w:t>面向甲、乙、丙类服务对象开展，主要提供普惠型康复服务。主要包括康复评估、服药训练、预防复发训练、家庭支持（链接生活、就学、就业、医疗、康复、救助、福利等方面的政策待遇与社会资源）等服务。</w:t>
      </w:r>
    </w:p>
    <w:p w14:paraId="6A7D4FC4">
      <w:pPr>
        <w:keepNext w:val="0"/>
        <w:keepLines w:val="0"/>
        <w:pageBreakBefore w:val="0"/>
        <w:kinsoku/>
        <w:wordWrap/>
        <w:overflowPunct/>
        <w:topLinePunct w:val="0"/>
        <w:bidi w:val="0"/>
        <w:adjustRightInd/>
        <w:snapToGrid/>
        <w:spacing w:line="540" w:lineRule="exact"/>
        <w:ind w:left="0" w:firstLine="643"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b/>
          <w:bCs/>
          <w:kern w:val="0"/>
          <w:sz w:val="32"/>
          <w:szCs w:val="32"/>
          <w:highlight w:val="none"/>
          <w:lang w:val="en-US" w:eastAsia="zh-CN" w:bidi="ar"/>
        </w:rPr>
        <w:t>2.实用性康复项目：</w:t>
      </w:r>
      <w:r>
        <w:rPr>
          <w:rFonts w:hint="default" w:ascii="Times New Roman" w:hAnsi="Times New Roman" w:eastAsia="仿宋_GB2312" w:cs="Times New Roman"/>
          <w:kern w:val="0"/>
          <w:sz w:val="32"/>
          <w:szCs w:val="32"/>
          <w:highlight w:val="none"/>
          <w:lang w:val="en-US" w:eastAsia="zh-CN" w:bidi="ar"/>
        </w:rPr>
        <w:t>面向甲、乙类服务对象开展，主要提供躯体管理训练、生活技能训练、家庭康复指导、心理治疗和康复等服务。</w:t>
      </w:r>
    </w:p>
    <w:p w14:paraId="70C5BE05">
      <w:pPr>
        <w:keepNext w:val="0"/>
        <w:keepLines w:val="0"/>
        <w:pageBreakBefore w:val="0"/>
        <w:kinsoku/>
        <w:wordWrap/>
        <w:overflowPunct/>
        <w:topLinePunct w:val="0"/>
        <w:bidi w:val="0"/>
        <w:adjustRightInd/>
        <w:snapToGrid/>
        <w:spacing w:line="540" w:lineRule="exact"/>
        <w:ind w:left="0" w:firstLine="643" w:firstLineChars="200"/>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b/>
          <w:bCs/>
          <w:kern w:val="0"/>
          <w:sz w:val="32"/>
          <w:szCs w:val="32"/>
          <w:highlight w:val="none"/>
          <w:lang w:val="en-US" w:eastAsia="zh-CN" w:bidi="ar"/>
        </w:rPr>
        <w:t>3.个性化康复项目：</w:t>
      </w:r>
      <w:r>
        <w:rPr>
          <w:rFonts w:hint="default" w:ascii="Times New Roman" w:hAnsi="Times New Roman" w:eastAsia="仿宋_GB2312" w:cs="Times New Roman"/>
          <w:kern w:val="0"/>
          <w:sz w:val="32"/>
          <w:szCs w:val="32"/>
          <w:highlight w:val="none"/>
          <w:lang w:val="en-US" w:eastAsia="zh-CN" w:bidi="ar"/>
        </w:rPr>
        <w:t>面向甲类服务对象开展，主要包括社交技能训练、职业康复训练、同伴支持等服务。</w:t>
      </w:r>
    </w:p>
    <w:p w14:paraId="4AEB5FEF">
      <w:pPr>
        <w:keepNext w:val="0"/>
        <w:keepLines w:val="0"/>
        <w:pageBreakBefore w:val="0"/>
        <w:kinsoku/>
        <w:wordWrap/>
        <w:overflowPunct/>
        <w:topLinePunct w:val="0"/>
        <w:bidi w:val="0"/>
        <w:adjustRightInd/>
        <w:snapToGrid/>
        <w:spacing w:line="540" w:lineRule="exact"/>
        <w:ind w:left="0" w:firstLine="640" w:firstLineChars="200"/>
        <w:textAlignment w:val="auto"/>
        <w:rPr>
          <w:rFonts w:hint="default" w:ascii="Times New Roman" w:hAnsi="Times New Roman" w:eastAsia="黑体" w:cs="Times New Roman"/>
          <w:b w:val="0"/>
          <w:color w:val="000000"/>
          <w:kern w:val="0"/>
          <w:sz w:val="32"/>
          <w:szCs w:val="32"/>
          <w:highlight w:val="none"/>
          <w:lang w:bidi="ar"/>
        </w:rPr>
      </w:pPr>
      <w:r>
        <w:rPr>
          <w:rFonts w:hint="default" w:ascii="Times New Roman" w:hAnsi="Times New Roman" w:eastAsia="仿宋_GB2312" w:cs="Times New Roman"/>
          <w:kern w:val="0"/>
          <w:sz w:val="32"/>
          <w:szCs w:val="32"/>
          <w:highlight w:val="none"/>
          <w:lang w:val="en-US" w:eastAsia="zh-CN" w:bidi="ar"/>
        </w:rPr>
        <w:t>项目承接机构要根据服务对象特点与需求提供相对应服务，避免反复提供同类型服务或提供超出服务对象接受能力的服务，要根据指引要求提供服务项目，注重服务项目的科学性、专业性、有效性避免服务同质化、流程化等问题。要建立服务项目修正机制：</w:t>
      </w:r>
      <w:r>
        <w:rPr>
          <w:rFonts w:hint="default" w:ascii="Times New Roman" w:hAnsi="Times New Roman" w:eastAsia="仿宋_GB2312" w:cs="Times New Roman"/>
          <w:sz w:val="32"/>
          <w:szCs w:val="32"/>
          <w:highlight w:val="none"/>
          <w:lang w:val="en-US" w:eastAsia="zh-CN"/>
        </w:rPr>
        <w:t>对于服务期间去世、长期不配合等不再符合康复条件的对象，要及时终止服务并调整补充新的服务对象；对于康复效果不好、长期无人参与的康复项目，要及时调整；对于服务对象反馈较好的项目，要加大资源投入，及时推广优秀项目。</w:t>
      </w:r>
    </w:p>
    <w:tbl>
      <w:tblPr>
        <w:tblStyle w:val="9"/>
        <w:tblpPr w:leftFromText="180" w:rightFromText="180" w:vertAnchor="text" w:horzAnchor="page" w:tblpXSpec="center" w:tblpY="598"/>
        <w:tblOverlap w:val="never"/>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2175"/>
        <w:gridCol w:w="2130"/>
        <w:gridCol w:w="3110"/>
      </w:tblGrid>
      <w:tr w14:paraId="33F4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71" w:type="dxa"/>
            <w:noWrap w:val="0"/>
            <w:vAlign w:val="center"/>
          </w:tcPr>
          <w:p w14:paraId="59E48D98">
            <w:pPr>
              <w:pStyle w:val="56"/>
              <w:bidi w:val="0"/>
              <w:jc w:val="center"/>
              <w:rPr>
                <w:rFonts w:hint="default" w:ascii="Times New Roman" w:hAnsi="Times New Roman" w:eastAsia="宋体" w:cs="Times New Roman"/>
                <w:b/>
                <w:bCs w:val="0"/>
                <w:sz w:val="20"/>
                <w:szCs w:val="18"/>
                <w:highlight w:val="none"/>
                <w:lang w:val="en-US" w:eastAsia="zh-CN"/>
              </w:rPr>
            </w:pPr>
            <w:r>
              <w:rPr>
                <w:rFonts w:hint="default" w:ascii="Times New Roman" w:hAnsi="Times New Roman" w:eastAsia="宋体" w:cs="Times New Roman"/>
                <w:b/>
                <w:bCs w:val="0"/>
                <w:sz w:val="20"/>
                <w:szCs w:val="18"/>
                <w:highlight w:val="none"/>
                <w:lang w:val="en-US" w:eastAsia="zh-CN"/>
              </w:rPr>
              <w:t>服务对象分类</w:t>
            </w:r>
          </w:p>
        </w:tc>
        <w:tc>
          <w:tcPr>
            <w:tcW w:w="2175" w:type="dxa"/>
            <w:noWrap w:val="0"/>
            <w:vAlign w:val="center"/>
          </w:tcPr>
          <w:p w14:paraId="27216204">
            <w:pPr>
              <w:pStyle w:val="56"/>
              <w:bidi w:val="0"/>
              <w:jc w:val="center"/>
              <w:rPr>
                <w:rFonts w:hint="default" w:ascii="Times New Roman" w:hAnsi="Times New Roman" w:eastAsia="宋体" w:cs="Times New Roman"/>
                <w:b/>
                <w:bCs w:val="0"/>
                <w:sz w:val="20"/>
                <w:szCs w:val="18"/>
                <w:highlight w:val="none"/>
                <w:lang w:val="en-US" w:eastAsia="zh-CN"/>
              </w:rPr>
            </w:pPr>
            <w:r>
              <w:rPr>
                <w:rFonts w:hint="default" w:ascii="Times New Roman" w:hAnsi="Times New Roman" w:eastAsia="宋体" w:cs="Times New Roman"/>
                <w:b/>
                <w:bCs w:val="0"/>
                <w:sz w:val="20"/>
                <w:szCs w:val="18"/>
                <w:highlight w:val="none"/>
                <w:lang w:val="en-US" w:eastAsia="zh-CN"/>
              </w:rPr>
              <w:t>项目类别</w:t>
            </w:r>
          </w:p>
        </w:tc>
        <w:tc>
          <w:tcPr>
            <w:tcW w:w="2130" w:type="dxa"/>
            <w:noWrap w:val="0"/>
            <w:vAlign w:val="center"/>
          </w:tcPr>
          <w:p w14:paraId="10AAE6B5">
            <w:pPr>
              <w:pStyle w:val="56"/>
              <w:bidi w:val="0"/>
              <w:jc w:val="center"/>
              <w:rPr>
                <w:rFonts w:hint="default" w:ascii="Times New Roman" w:hAnsi="Times New Roman" w:cs="Times New Roman"/>
                <w:b/>
                <w:bCs w:val="0"/>
                <w:sz w:val="20"/>
                <w:szCs w:val="18"/>
                <w:highlight w:val="none"/>
                <w:lang w:val="en-US" w:eastAsia="zh-CN"/>
              </w:rPr>
            </w:pPr>
            <w:r>
              <w:rPr>
                <w:rFonts w:hint="default" w:ascii="Times New Roman" w:hAnsi="Times New Roman" w:cs="Times New Roman"/>
                <w:b/>
                <w:bCs w:val="0"/>
                <w:sz w:val="20"/>
                <w:szCs w:val="18"/>
                <w:highlight w:val="none"/>
                <w:lang w:val="en-US" w:eastAsia="zh-CN"/>
              </w:rPr>
              <w:t>项目名称</w:t>
            </w:r>
          </w:p>
        </w:tc>
        <w:tc>
          <w:tcPr>
            <w:tcW w:w="3110" w:type="dxa"/>
            <w:noWrap w:val="0"/>
            <w:vAlign w:val="center"/>
          </w:tcPr>
          <w:p w14:paraId="56A862F3">
            <w:pPr>
              <w:pStyle w:val="56"/>
              <w:bidi w:val="0"/>
              <w:jc w:val="center"/>
              <w:rPr>
                <w:rFonts w:hint="default" w:ascii="Times New Roman" w:hAnsi="Times New Roman" w:cs="Times New Roman"/>
                <w:b/>
                <w:bCs w:val="0"/>
                <w:sz w:val="20"/>
                <w:szCs w:val="18"/>
                <w:highlight w:val="none"/>
                <w:lang w:val="en-US" w:eastAsia="zh-CN"/>
              </w:rPr>
            </w:pPr>
            <w:r>
              <w:rPr>
                <w:rFonts w:hint="default" w:ascii="Times New Roman" w:hAnsi="Times New Roman" w:cs="Times New Roman"/>
                <w:b/>
                <w:bCs w:val="0"/>
                <w:sz w:val="20"/>
                <w:szCs w:val="18"/>
                <w:highlight w:val="none"/>
                <w:lang w:val="en-US" w:eastAsia="zh-CN"/>
              </w:rPr>
              <w:t>项目年服务频次</w:t>
            </w:r>
          </w:p>
        </w:tc>
      </w:tr>
      <w:tr w14:paraId="12FA7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restart"/>
            <w:noWrap w:val="0"/>
            <w:vAlign w:val="center"/>
          </w:tcPr>
          <w:p w14:paraId="75FC07C8">
            <w:pPr>
              <w:pStyle w:val="56"/>
              <w:bidi w:val="0"/>
              <w:jc w:val="center"/>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甲类服务</w:t>
            </w:r>
          </w:p>
          <w:p w14:paraId="0CA1EA4A">
            <w:pPr>
              <w:pStyle w:val="56"/>
              <w:bidi w:val="0"/>
              <w:jc w:val="center"/>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对象</w:t>
            </w:r>
          </w:p>
        </w:tc>
        <w:tc>
          <w:tcPr>
            <w:tcW w:w="2175" w:type="dxa"/>
            <w:vMerge w:val="restart"/>
            <w:noWrap w:val="0"/>
            <w:vAlign w:val="center"/>
          </w:tcPr>
          <w:p w14:paraId="45AF037A">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基础性康复项目</w:t>
            </w:r>
          </w:p>
        </w:tc>
        <w:tc>
          <w:tcPr>
            <w:tcW w:w="2130" w:type="dxa"/>
            <w:noWrap w:val="0"/>
            <w:vAlign w:val="center"/>
          </w:tcPr>
          <w:p w14:paraId="082EB2D9">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康复评估</w:t>
            </w:r>
          </w:p>
        </w:tc>
        <w:tc>
          <w:tcPr>
            <w:tcW w:w="3110" w:type="dxa"/>
            <w:noWrap w:val="0"/>
            <w:vAlign w:val="center"/>
          </w:tcPr>
          <w:p w14:paraId="647F082F">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每季度1次</w:t>
            </w:r>
          </w:p>
        </w:tc>
      </w:tr>
      <w:tr w14:paraId="1029A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319F784E">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126279EB">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p>
        </w:tc>
        <w:tc>
          <w:tcPr>
            <w:tcW w:w="2130" w:type="dxa"/>
            <w:noWrap w:val="0"/>
            <w:vAlign w:val="center"/>
          </w:tcPr>
          <w:p w14:paraId="3ED31753">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服药训练</w:t>
            </w:r>
          </w:p>
        </w:tc>
        <w:tc>
          <w:tcPr>
            <w:tcW w:w="3110" w:type="dxa"/>
            <w:noWrap w:val="0"/>
            <w:vAlign w:val="center"/>
          </w:tcPr>
          <w:p w14:paraId="627A1C73">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每年2次</w:t>
            </w:r>
          </w:p>
        </w:tc>
      </w:tr>
      <w:tr w14:paraId="07B2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7AB746ED">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6D95D824">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p>
        </w:tc>
        <w:tc>
          <w:tcPr>
            <w:tcW w:w="2130" w:type="dxa"/>
            <w:noWrap w:val="0"/>
            <w:vAlign w:val="center"/>
          </w:tcPr>
          <w:p w14:paraId="159A640C">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预防复发训练</w:t>
            </w:r>
          </w:p>
        </w:tc>
        <w:tc>
          <w:tcPr>
            <w:tcW w:w="3110" w:type="dxa"/>
            <w:noWrap w:val="0"/>
            <w:vAlign w:val="center"/>
          </w:tcPr>
          <w:p w14:paraId="6F1425AF">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每年2次</w:t>
            </w:r>
          </w:p>
        </w:tc>
      </w:tr>
      <w:tr w14:paraId="478F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07462357">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4547A981">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p>
        </w:tc>
        <w:tc>
          <w:tcPr>
            <w:tcW w:w="2130" w:type="dxa"/>
            <w:noWrap w:val="0"/>
            <w:vAlign w:val="center"/>
          </w:tcPr>
          <w:p w14:paraId="033C6180">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家庭支持</w:t>
            </w:r>
          </w:p>
        </w:tc>
        <w:tc>
          <w:tcPr>
            <w:tcW w:w="3110" w:type="dxa"/>
            <w:noWrap w:val="0"/>
            <w:vAlign w:val="center"/>
          </w:tcPr>
          <w:p w14:paraId="459C721C">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每季度1次探访</w:t>
            </w:r>
          </w:p>
        </w:tc>
      </w:tr>
      <w:tr w14:paraId="6127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7506E66E">
            <w:pPr>
              <w:pStyle w:val="56"/>
              <w:bidi w:val="0"/>
              <w:jc w:val="center"/>
              <w:rPr>
                <w:rFonts w:hint="default" w:ascii="Times New Roman" w:hAnsi="Times New Roman" w:eastAsia="黑体" w:cs="Times New Roman"/>
                <w:highlight w:val="none"/>
                <w:lang w:val="en-US" w:eastAsia="zh-CN"/>
              </w:rPr>
            </w:pPr>
          </w:p>
        </w:tc>
        <w:tc>
          <w:tcPr>
            <w:tcW w:w="2175" w:type="dxa"/>
            <w:vMerge w:val="restart"/>
            <w:noWrap w:val="0"/>
            <w:vAlign w:val="center"/>
          </w:tcPr>
          <w:p w14:paraId="728AD94D">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实用性康复项目</w:t>
            </w:r>
          </w:p>
        </w:tc>
        <w:tc>
          <w:tcPr>
            <w:tcW w:w="2130" w:type="dxa"/>
            <w:noWrap w:val="0"/>
            <w:vAlign w:val="center"/>
          </w:tcPr>
          <w:p w14:paraId="29066502">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躯体管理训练</w:t>
            </w:r>
          </w:p>
        </w:tc>
        <w:tc>
          <w:tcPr>
            <w:tcW w:w="3110" w:type="dxa"/>
            <w:noWrap w:val="0"/>
            <w:vAlign w:val="center"/>
          </w:tcPr>
          <w:p w14:paraId="295C83AA">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24周，每周5次</w:t>
            </w:r>
          </w:p>
        </w:tc>
      </w:tr>
      <w:tr w14:paraId="2CA4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66FE3E80">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7A7FEDBD">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p>
        </w:tc>
        <w:tc>
          <w:tcPr>
            <w:tcW w:w="2130" w:type="dxa"/>
            <w:noWrap w:val="0"/>
            <w:vAlign w:val="center"/>
          </w:tcPr>
          <w:p w14:paraId="643CC5A5">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生活技能训练</w:t>
            </w:r>
          </w:p>
        </w:tc>
        <w:tc>
          <w:tcPr>
            <w:tcW w:w="3110" w:type="dxa"/>
            <w:noWrap w:val="0"/>
            <w:vAlign w:val="center"/>
          </w:tcPr>
          <w:p w14:paraId="335A6976">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12周，每周1次</w:t>
            </w:r>
          </w:p>
        </w:tc>
      </w:tr>
      <w:tr w14:paraId="7723D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25432C64">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631A2539">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p>
        </w:tc>
        <w:tc>
          <w:tcPr>
            <w:tcW w:w="2130" w:type="dxa"/>
            <w:noWrap w:val="0"/>
            <w:vAlign w:val="center"/>
          </w:tcPr>
          <w:p w14:paraId="2B7ED6D4">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家庭康复指导</w:t>
            </w:r>
          </w:p>
        </w:tc>
        <w:tc>
          <w:tcPr>
            <w:tcW w:w="3110" w:type="dxa"/>
            <w:noWrap w:val="0"/>
            <w:vAlign w:val="center"/>
          </w:tcPr>
          <w:p w14:paraId="73662D5D">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每季度1次</w:t>
            </w:r>
          </w:p>
        </w:tc>
      </w:tr>
      <w:tr w14:paraId="394C9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exact"/>
          <w:jc w:val="center"/>
        </w:trPr>
        <w:tc>
          <w:tcPr>
            <w:tcW w:w="1571" w:type="dxa"/>
            <w:vMerge w:val="continue"/>
            <w:noWrap w:val="0"/>
            <w:vAlign w:val="center"/>
          </w:tcPr>
          <w:p w14:paraId="470DE3A9">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543AC93F">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p>
        </w:tc>
        <w:tc>
          <w:tcPr>
            <w:tcW w:w="2130" w:type="dxa"/>
            <w:noWrap w:val="0"/>
            <w:vAlign w:val="center"/>
          </w:tcPr>
          <w:p w14:paraId="7EF1FFB2">
            <w:pPr>
              <w:pStyle w:val="56"/>
              <w:keepNext w:val="0"/>
              <w:keepLines w:val="0"/>
              <w:pageBreakBefore w:val="0"/>
              <w:widowControl w:val="0"/>
              <w:kinsoku/>
              <w:wordWrap/>
              <w:overflowPunct/>
              <w:topLinePunct w:val="0"/>
              <w:autoSpaceDE/>
              <w:autoSpaceDN/>
              <w:bidi w:val="0"/>
              <w:adjustRightInd/>
              <w:snapToGrid/>
              <w:spacing w:before="0" w:after="0" w:line="400" w:lineRule="exact"/>
              <w:jc w:val="both"/>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心理治疗和康复</w:t>
            </w:r>
          </w:p>
        </w:tc>
        <w:tc>
          <w:tcPr>
            <w:tcW w:w="3110" w:type="dxa"/>
            <w:noWrap w:val="0"/>
            <w:vAlign w:val="center"/>
          </w:tcPr>
          <w:p w14:paraId="7329D07D">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视情况开展，治疗周期不超过8周，每周1次，每年不超过2个治疗周期</w:t>
            </w:r>
          </w:p>
        </w:tc>
      </w:tr>
      <w:tr w14:paraId="0B3D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30D25E5F">
            <w:pPr>
              <w:pStyle w:val="56"/>
              <w:bidi w:val="0"/>
              <w:jc w:val="center"/>
              <w:rPr>
                <w:rFonts w:hint="default" w:ascii="Times New Roman" w:hAnsi="Times New Roman" w:eastAsia="黑体" w:cs="Times New Roman"/>
                <w:highlight w:val="none"/>
                <w:lang w:val="en-US" w:eastAsia="zh-CN"/>
              </w:rPr>
            </w:pPr>
          </w:p>
        </w:tc>
        <w:tc>
          <w:tcPr>
            <w:tcW w:w="2175" w:type="dxa"/>
            <w:vMerge w:val="restart"/>
            <w:noWrap w:val="0"/>
            <w:vAlign w:val="center"/>
          </w:tcPr>
          <w:p w14:paraId="2A7953A7">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个性化康复项目（不同时开展）</w:t>
            </w:r>
          </w:p>
        </w:tc>
        <w:tc>
          <w:tcPr>
            <w:tcW w:w="2130" w:type="dxa"/>
            <w:noWrap w:val="0"/>
            <w:vAlign w:val="center"/>
          </w:tcPr>
          <w:p w14:paraId="11BF24C4">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社交技能训练</w:t>
            </w:r>
          </w:p>
        </w:tc>
        <w:tc>
          <w:tcPr>
            <w:tcW w:w="3110" w:type="dxa"/>
            <w:noWrap w:val="0"/>
            <w:vAlign w:val="center"/>
          </w:tcPr>
          <w:p w14:paraId="5D93947F">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24周，每周2次</w:t>
            </w:r>
          </w:p>
        </w:tc>
      </w:tr>
      <w:tr w14:paraId="113B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22103560">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7A1BBF0B">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p>
        </w:tc>
        <w:tc>
          <w:tcPr>
            <w:tcW w:w="2130" w:type="dxa"/>
            <w:noWrap w:val="0"/>
            <w:vAlign w:val="center"/>
          </w:tcPr>
          <w:p w14:paraId="612109C9">
            <w:pPr>
              <w:pStyle w:val="56"/>
              <w:keepNext w:val="0"/>
              <w:keepLines w:val="0"/>
              <w:pageBreakBefore w:val="0"/>
              <w:widowControl w:val="0"/>
              <w:kinsoku/>
              <w:wordWrap/>
              <w:overflowPunct/>
              <w:topLinePunct w:val="0"/>
              <w:autoSpaceDE/>
              <w:autoSpaceDN/>
              <w:bidi w:val="0"/>
              <w:adjustRightInd/>
              <w:snapToGrid/>
              <w:spacing w:before="0" w:after="0" w:line="4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职业康复训练</w:t>
            </w:r>
          </w:p>
        </w:tc>
        <w:tc>
          <w:tcPr>
            <w:tcW w:w="3110" w:type="dxa"/>
            <w:noWrap w:val="0"/>
            <w:vAlign w:val="center"/>
          </w:tcPr>
          <w:p w14:paraId="43115D1E">
            <w:pPr>
              <w:pStyle w:val="56"/>
              <w:keepNext w:val="0"/>
              <w:keepLines w:val="0"/>
              <w:pageBreakBefore w:val="0"/>
              <w:widowControl w:val="0"/>
              <w:kinsoku/>
              <w:wordWrap/>
              <w:overflowPunct/>
              <w:topLinePunct w:val="0"/>
              <w:autoSpaceDE/>
              <w:autoSpaceDN/>
              <w:bidi w:val="0"/>
              <w:adjustRightInd/>
              <w:snapToGrid/>
              <w:spacing w:before="0" w:after="0" w:line="300" w:lineRule="exact"/>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24周，每周3次</w:t>
            </w:r>
          </w:p>
        </w:tc>
      </w:tr>
      <w:tr w14:paraId="1371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318E4C9E">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72C403D6">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p>
        </w:tc>
        <w:tc>
          <w:tcPr>
            <w:tcW w:w="2130" w:type="dxa"/>
            <w:noWrap w:val="0"/>
            <w:vAlign w:val="center"/>
          </w:tcPr>
          <w:p w14:paraId="6AA49A93">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同伴支持</w:t>
            </w:r>
          </w:p>
        </w:tc>
        <w:tc>
          <w:tcPr>
            <w:tcW w:w="3110" w:type="dxa"/>
            <w:noWrap w:val="0"/>
            <w:vAlign w:val="center"/>
          </w:tcPr>
          <w:p w14:paraId="5BE5B9BB">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sz w:val="24"/>
                <w:szCs w:val="24"/>
                <w:highlight w:val="none"/>
                <w:lang w:val="en-US" w:eastAsia="zh-CN"/>
              </w:rPr>
              <w:t>24周，每周5次</w:t>
            </w:r>
          </w:p>
        </w:tc>
      </w:tr>
      <w:tr w14:paraId="7DB9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restart"/>
            <w:noWrap w:val="0"/>
            <w:vAlign w:val="center"/>
          </w:tcPr>
          <w:p w14:paraId="6845DE6B">
            <w:pPr>
              <w:pStyle w:val="56"/>
              <w:bidi w:val="0"/>
              <w:jc w:val="center"/>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乙类服务</w:t>
            </w:r>
          </w:p>
          <w:p w14:paraId="0DC1EAB2">
            <w:pPr>
              <w:pStyle w:val="56"/>
              <w:bidi w:val="0"/>
              <w:jc w:val="center"/>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对象</w:t>
            </w:r>
          </w:p>
        </w:tc>
        <w:tc>
          <w:tcPr>
            <w:tcW w:w="2175" w:type="dxa"/>
            <w:vMerge w:val="restart"/>
            <w:noWrap w:val="0"/>
            <w:vAlign w:val="center"/>
          </w:tcPr>
          <w:p w14:paraId="7CBF8FB6">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基础性康复项目</w:t>
            </w:r>
          </w:p>
        </w:tc>
        <w:tc>
          <w:tcPr>
            <w:tcW w:w="2130" w:type="dxa"/>
            <w:noWrap w:val="0"/>
            <w:vAlign w:val="center"/>
          </w:tcPr>
          <w:p w14:paraId="18AB6231">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康复评估</w:t>
            </w:r>
          </w:p>
        </w:tc>
        <w:tc>
          <w:tcPr>
            <w:tcW w:w="3110" w:type="dxa"/>
            <w:noWrap w:val="0"/>
            <w:vAlign w:val="center"/>
          </w:tcPr>
          <w:p w14:paraId="7D46F223">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每季度1次</w:t>
            </w:r>
          </w:p>
        </w:tc>
      </w:tr>
      <w:tr w14:paraId="566DA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6101236A">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5EFA52A6">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2D05F4E3">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服药训练</w:t>
            </w:r>
          </w:p>
        </w:tc>
        <w:tc>
          <w:tcPr>
            <w:tcW w:w="3110" w:type="dxa"/>
            <w:noWrap w:val="0"/>
            <w:vAlign w:val="center"/>
          </w:tcPr>
          <w:p w14:paraId="647D009C">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10周，每周2次</w:t>
            </w:r>
          </w:p>
        </w:tc>
      </w:tr>
      <w:tr w14:paraId="5AE4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51C94DB6">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54EACDB9">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6A2D20AA">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预防复发</w:t>
            </w:r>
          </w:p>
        </w:tc>
        <w:tc>
          <w:tcPr>
            <w:tcW w:w="3110" w:type="dxa"/>
            <w:noWrap w:val="0"/>
            <w:vAlign w:val="center"/>
          </w:tcPr>
          <w:p w14:paraId="78A9FAE6">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13周，每周1次</w:t>
            </w:r>
          </w:p>
        </w:tc>
      </w:tr>
      <w:tr w14:paraId="13D1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19061D12">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14B2E662">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74F8C5ED">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家庭支持</w:t>
            </w:r>
          </w:p>
        </w:tc>
        <w:tc>
          <w:tcPr>
            <w:tcW w:w="3110" w:type="dxa"/>
            <w:noWrap w:val="0"/>
            <w:vAlign w:val="center"/>
          </w:tcPr>
          <w:p w14:paraId="5DD1D8C0">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每月1次探访</w:t>
            </w:r>
          </w:p>
        </w:tc>
      </w:tr>
      <w:tr w14:paraId="4C25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44B9361C">
            <w:pPr>
              <w:pStyle w:val="56"/>
              <w:bidi w:val="0"/>
              <w:jc w:val="center"/>
              <w:rPr>
                <w:rFonts w:hint="default" w:ascii="Times New Roman" w:hAnsi="Times New Roman" w:eastAsia="黑体" w:cs="Times New Roman"/>
                <w:highlight w:val="none"/>
                <w:lang w:val="en-US" w:eastAsia="zh-CN"/>
              </w:rPr>
            </w:pPr>
          </w:p>
        </w:tc>
        <w:tc>
          <w:tcPr>
            <w:tcW w:w="2175" w:type="dxa"/>
            <w:vMerge w:val="restart"/>
            <w:noWrap w:val="0"/>
            <w:vAlign w:val="center"/>
          </w:tcPr>
          <w:p w14:paraId="275515B3">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实用性康复项目</w:t>
            </w:r>
          </w:p>
        </w:tc>
        <w:tc>
          <w:tcPr>
            <w:tcW w:w="2130" w:type="dxa"/>
            <w:noWrap w:val="0"/>
            <w:vAlign w:val="center"/>
          </w:tcPr>
          <w:p w14:paraId="6D30787B">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躯体管理训练</w:t>
            </w:r>
          </w:p>
        </w:tc>
        <w:tc>
          <w:tcPr>
            <w:tcW w:w="3110" w:type="dxa"/>
            <w:noWrap w:val="0"/>
            <w:vAlign w:val="center"/>
          </w:tcPr>
          <w:p w14:paraId="5ADCDE57">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48周，每周5次</w:t>
            </w:r>
          </w:p>
        </w:tc>
      </w:tr>
      <w:tr w14:paraId="2851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0CCA00EE">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1EB93FAF">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2ABEE48D">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生活技能训练</w:t>
            </w:r>
          </w:p>
        </w:tc>
        <w:tc>
          <w:tcPr>
            <w:tcW w:w="3110" w:type="dxa"/>
            <w:noWrap w:val="0"/>
            <w:vAlign w:val="center"/>
          </w:tcPr>
          <w:p w14:paraId="23334485">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48周，每周1次</w:t>
            </w:r>
          </w:p>
        </w:tc>
      </w:tr>
      <w:tr w14:paraId="1746A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337E61E7">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52A4589A">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52989C96">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家庭康复指导</w:t>
            </w:r>
          </w:p>
        </w:tc>
        <w:tc>
          <w:tcPr>
            <w:tcW w:w="3110" w:type="dxa"/>
            <w:noWrap w:val="0"/>
            <w:vAlign w:val="center"/>
          </w:tcPr>
          <w:p w14:paraId="52C4D3DC">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每月1次</w:t>
            </w:r>
          </w:p>
        </w:tc>
      </w:tr>
      <w:tr w14:paraId="66C4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exact"/>
          <w:jc w:val="center"/>
        </w:trPr>
        <w:tc>
          <w:tcPr>
            <w:tcW w:w="1571" w:type="dxa"/>
            <w:vMerge w:val="continue"/>
            <w:noWrap w:val="0"/>
            <w:vAlign w:val="center"/>
          </w:tcPr>
          <w:p w14:paraId="68DD1EA5">
            <w:pPr>
              <w:pStyle w:val="56"/>
              <w:bidi w:val="0"/>
              <w:jc w:val="center"/>
              <w:rPr>
                <w:rFonts w:hint="default" w:ascii="Times New Roman" w:hAnsi="Times New Roman" w:eastAsia="黑体" w:cs="Times New Roman"/>
                <w:highlight w:val="none"/>
                <w:lang w:val="en-US" w:eastAsia="zh-CN"/>
              </w:rPr>
            </w:pPr>
          </w:p>
        </w:tc>
        <w:tc>
          <w:tcPr>
            <w:tcW w:w="2175" w:type="dxa"/>
            <w:vMerge w:val="continue"/>
            <w:noWrap w:val="0"/>
            <w:vAlign w:val="center"/>
          </w:tcPr>
          <w:p w14:paraId="5317CD7C">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6F0135E3">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心理治疗和康复</w:t>
            </w:r>
          </w:p>
        </w:tc>
        <w:tc>
          <w:tcPr>
            <w:tcW w:w="3110" w:type="dxa"/>
            <w:noWrap w:val="0"/>
            <w:vAlign w:val="center"/>
          </w:tcPr>
          <w:p w14:paraId="5D58DD82">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视情况开展，治疗周期不超过8周，每周1次，每年不超过2个治疗周期</w:t>
            </w:r>
          </w:p>
        </w:tc>
      </w:tr>
      <w:tr w14:paraId="5625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restart"/>
            <w:noWrap w:val="0"/>
            <w:vAlign w:val="center"/>
          </w:tcPr>
          <w:p w14:paraId="590F42BE">
            <w:pPr>
              <w:pStyle w:val="56"/>
              <w:bidi w:val="0"/>
              <w:jc w:val="center"/>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丙类服务</w:t>
            </w:r>
          </w:p>
          <w:p w14:paraId="5AA99FFD">
            <w:pPr>
              <w:pStyle w:val="56"/>
              <w:bidi w:val="0"/>
              <w:jc w:val="center"/>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对象</w:t>
            </w:r>
          </w:p>
        </w:tc>
        <w:tc>
          <w:tcPr>
            <w:tcW w:w="2175" w:type="dxa"/>
            <w:vMerge w:val="restart"/>
            <w:noWrap w:val="0"/>
            <w:vAlign w:val="center"/>
          </w:tcPr>
          <w:p w14:paraId="7EDAE3A4">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基础性康复项目</w:t>
            </w:r>
          </w:p>
        </w:tc>
        <w:tc>
          <w:tcPr>
            <w:tcW w:w="2130" w:type="dxa"/>
            <w:noWrap w:val="0"/>
            <w:vAlign w:val="center"/>
          </w:tcPr>
          <w:p w14:paraId="58209D25">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康复评估</w:t>
            </w:r>
          </w:p>
        </w:tc>
        <w:tc>
          <w:tcPr>
            <w:tcW w:w="3110" w:type="dxa"/>
            <w:noWrap w:val="0"/>
            <w:vAlign w:val="center"/>
          </w:tcPr>
          <w:p w14:paraId="587A6A08">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每季度1次</w:t>
            </w:r>
          </w:p>
        </w:tc>
      </w:tr>
      <w:tr w14:paraId="51B65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25507422">
            <w:pPr>
              <w:pStyle w:val="56"/>
              <w:bidi w:val="0"/>
              <w:jc w:val="center"/>
              <w:rPr>
                <w:rFonts w:hint="default" w:ascii="Times New Roman" w:hAnsi="Times New Roman" w:cs="Times New Roman"/>
                <w:highlight w:val="none"/>
                <w:lang w:val="en-US" w:eastAsia="zh-CN"/>
              </w:rPr>
            </w:pPr>
          </w:p>
        </w:tc>
        <w:tc>
          <w:tcPr>
            <w:tcW w:w="2175" w:type="dxa"/>
            <w:vMerge w:val="continue"/>
            <w:noWrap w:val="0"/>
            <w:vAlign w:val="center"/>
          </w:tcPr>
          <w:p w14:paraId="39C24462">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6B8EAEA2">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服药训练</w:t>
            </w:r>
          </w:p>
        </w:tc>
        <w:tc>
          <w:tcPr>
            <w:tcW w:w="3110" w:type="dxa"/>
            <w:noWrap w:val="0"/>
            <w:vAlign w:val="center"/>
          </w:tcPr>
          <w:p w14:paraId="2D5B2DC2">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20周，每周2次</w:t>
            </w:r>
          </w:p>
        </w:tc>
      </w:tr>
      <w:tr w14:paraId="0658A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571" w:type="dxa"/>
            <w:vMerge w:val="continue"/>
            <w:noWrap w:val="0"/>
            <w:vAlign w:val="center"/>
          </w:tcPr>
          <w:p w14:paraId="7DD57DFA">
            <w:pPr>
              <w:pStyle w:val="56"/>
              <w:bidi w:val="0"/>
              <w:jc w:val="center"/>
              <w:rPr>
                <w:rFonts w:hint="default" w:ascii="Times New Roman" w:hAnsi="Times New Roman" w:cs="Times New Roman"/>
                <w:highlight w:val="none"/>
                <w:lang w:val="en-US" w:eastAsia="zh-CN"/>
              </w:rPr>
            </w:pPr>
          </w:p>
        </w:tc>
        <w:tc>
          <w:tcPr>
            <w:tcW w:w="2175" w:type="dxa"/>
            <w:vMerge w:val="continue"/>
            <w:noWrap w:val="0"/>
            <w:vAlign w:val="center"/>
          </w:tcPr>
          <w:p w14:paraId="7BF2A363">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3131FD75">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预防复发</w:t>
            </w:r>
          </w:p>
        </w:tc>
        <w:tc>
          <w:tcPr>
            <w:tcW w:w="3110" w:type="dxa"/>
            <w:noWrap w:val="0"/>
            <w:vAlign w:val="center"/>
          </w:tcPr>
          <w:p w14:paraId="1E6B0E57">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26周，每周1次</w:t>
            </w:r>
          </w:p>
        </w:tc>
      </w:tr>
      <w:tr w14:paraId="6FB6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exact"/>
          <w:jc w:val="center"/>
        </w:trPr>
        <w:tc>
          <w:tcPr>
            <w:tcW w:w="1571" w:type="dxa"/>
            <w:vMerge w:val="continue"/>
            <w:noWrap w:val="0"/>
            <w:vAlign w:val="center"/>
          </w:tcPr>
          <w:p w14:paraId="37C67127">
            <w:pPr>
              <w:pStyle w:val="56"/>
              <w:bidi w:val="0"/>
              <w:jc w:val="center"/>
              <w:rPr>
                <w:rFonts w:hint="default" w:ascii="Times New Roman" w:hAnsi="Times New Roman" w:cs="Times New Roman"/>
                <w:highlight w:val="none"/>
                <w:lang w:val="en-US" w:eastAsia="zh-CN"/>
              </w:rPr>
            </w:pPr>
          </w:p>
        </w:tc>
        <w:tc>
          <w:tcPr>
            <w:tcW w:w="2175" w:type="dxa"/>
            <w:vMerge w:val="continue"/>
            <w:noWrap w:val="0"/>
            <w:vAlign w:val="center"/>
          </w:tcPr>
          <w:p w14:paraId="43747673">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p>
        </w:tc>
        <w:tc>
          <w:tcPr>
            <w:tcW w:w="2130" w:type="dxa"/>
            <w:noWrap w:val="0"/>
            <w:vAlign w:val="center"/>
          </w:tcPr>
          <w:p w14:paraId="693A13AB">
            <w:pPr>
              <w:pStyle w:val="5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家庭支持</w:t>
            </w:r>
          </w:p>
        </w:tc>
        <w:tc>
          <w:tcPr>
            <w:tcW w:w="3110" w:type="dxa"/>
            <w:noWrap w:val="0"/>
            <w:vAlign w:val="center"/>
          </w:tcPr>
          <w:p w14:paraId="3E21C5DA">
            <w:pPr>
              <w:pStyle w:val="56"/>
              <w:keepNext w:val="0"/>
              <w:keepLines w:val="0"/>
              <w:pageBreakBefore w:val="0"/>
              <w:widowControl w:val="0"/>
              <w:kinsoku/>
              <w:wordWrap/>
              <w:overflowPunct/>
              <w:topLinePunct w:val="0"/>
              <w:autoSpaceDE/>
              <w:autoSpaceDN/>
              <w:bidi w:val="0"/>
              <w:adjustRightInd/>
              <w:snapToGrid/>
              <w:spacing w:before="0" w:after="0" w:line="300" w:lineRule="exact"/>
              <w:ind w:firstLine="0" w:firstLineChars="0"/>
              <w:jc w:val="center"/>
              <w:textAlignment w:val="auto"/>
              <w:rPr>
                <w:rFonts w:hint="default" w:ascii="Times New Roman" w:hAnsi="Times New Roman" w:eastAsia="仿宋_GB2312" w:cs="Times New Roman"/>
                <w:bCs/>
                <w:spacing w:val="10"/>
                <w:kern w:val="0"/>
                <w:sz w:val="24"/>
                <w:szCs w:val="24"/>
                <w:highlight w:val="none"/>
                <w:lang w:val="en-US" w:eastAsia="zh-CN" w:bidi="ar-SA"/>
              </w:rPr>
            </w:pPr>
            <w:r>
              <w:rPr>
                <w:rFonts w:hint="default" w:ascii="Times New Roman" w:hAnsi="Times New Roman" w:eastAsia="仿宋_GB2312" w:cs="Times New Roman"/>
                <w:sz w:val="24"/>
                <w:szCs w:val="24"/>
                <w:highlight w:val="none"/>
                <w:lang w:val="en-US" w:eastAsia="zh-CN"/>
              </w:rPr>
              <w:t>每月2次探访、每月1次活动</w:t>
            </w:r>
          </w:p>
        </w:tc>
      </w:tr>
      <w:tr w14:paraId="602A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exact"/>
          <w:jc w:val="center"/>
        </w:trPr>
        <w:tc>
          <w:tcPr>
            <w:tcW w:w="8986" w:type="dxa"/>
            <w:gridSpan w:val="4"/>
            <w:noWrap w:val="0"/>
            <w:vAlign w:val="center"/>
          </w:tcPr>
          <w:p w14:paraId="03806C8E">
            <w:pPr>
              <w:pStyle w:val="56"/>
              <w:keepNext w:val="0"/>
              <w:keepLines w:val="0"/>
              <w:pageBreakBefore w:val="0"/>
              <w:widowControl w:val="0"/>
              <w:tabs>
                <w:tab w:val="left" w:pos="4982"/>
              </w:tabs>
              <w:kinsoku/>
              <w:wordWrap/>
              <w:overflowPunct/>
              <w:topLinePunct w:val="0"/>
              <w:autoSpaceDE/>
              <w:autoSpaceDN/>
              <w:bidi w:val="0"/>
              <w:adjustRightInd/>
              <w:snapToGrid/>
              <w:spacing w:before="0" w:after="0" w:line="300" w:lineRule="exact"/>
              <w:ind w:firstLine="0" w:firstLineChars="0"/>
              <w:jc w:val="left"/>
              <w:textAlignment w:val="auto"/>
              <w:rPr>
                <w:rFonts w:hint="default" w:ascii="Times New Roman" w:hAnsi="Times New Roman" w:eastAsia="仿宋_GB2312" w:cs="Times New Roman"/>
                <w:sz w:val="24"/>
                <w:szCs w:val="24"/>
                <w:highlight w:val="none"/>
                <w:lang w:val="en-US" w:eastAsia="zh-CN"/>
              </w:rPr>
            </w:pPr>
            <w:r>
              <w:rPr>
                <w:rFonts w:hint="default" w:ascii="Times New Roman" w:hAnsi="Times New Roman" w:eastAsia="仿宋_GB2312" w:cs="Times New Roman"/>
                <w:b/>
                <w:bCs w:val="0"/>
                <w:sz w:val="24"/>
                <w:szCs w:val="24"/>
                <w:highlight w:val="none"/>
                <w:lang w:val="en-US" w:eastAsia="zh-CN"/>
              </w:rPr>
              <w:t>各类服务对象拟合计提供心理治疗和康复服务</w:t>
            </w:r>
            <w:r>
              <w:rPr>
                <w:rFonts w:hint="eastAsia" w:eastAsia="仿宋_GB2312" w:cs="Times New Roman"/>
                <w:b/>
                <w:bCs w:val="0"/>
                <w:sz w:val="24"/>
                <w:szCs w:val="24"/>
                <w:highlight w:val="none"/>
                <w:lang w:val="en-US" w:eastAsia="zh-CN"/>
              </w:rPr>
              <w:t>300</w:t>
            </w:r>
            <w:r>
              <w:rPr>
                <w:rFonts w:hint="default" w:ascii="Times New Roman" w:hAnsi="Times New Roman" w:eastAsia="仿宋_GB2312" w:cs="Times New Roman"/>
                <w:b/>
                <w:bCs w:val="0"/>
                <w:sz w:val="24"/>
                <w:szCs w:val="24"/>
                <w:highlight w:val="none"/>
                <w:lang w:val="en-US" w:eastAsia="zh-CN"/>
              </w:rPr>
              <w:t>人次。服务价格参照《穗民〔2023〕117号文件》的服务成本单价执行，上表服务频次仅供参考，机构可根据服务情况、服务对象实际需求调整服务频次和服务内容</w:t>
            </w:r>
            <w:r>
              <w:rPr>
                <w:rFonts w:hint="eastAsia" w:eastAsia="仿宋_GB2312" w:cs="Times New Roman"/>
                <w:b/>
                <w:bCs w:val="0"/>
                <w:sz w:val="24"/>
                <w:szCs w:val="24"/>
                <w:highlight w:val="none"/>
                <w:lang w:val="en-US" w:eastAsia="zh-CN"/>
              </w:rPr>
              <w:t>（如丙类和乙类服务对象也可根据实际需要享受甲类对象对象的服务项目）</w:t>
            </w:r>
            <w:r>
              <w:rPr>
                <w:rFonts w:hint="default" w:ascii="Times New Roman" w:hAnsi="Times New Roman" w:eastAsia="仿宋_GB2312" w:cs="Times New Roman"/>
                <w:b/>
                <w:bCs w:val="0"/>
                <w:sz w:val="24"/>
                <w:szCs w:val="24"/>
                <w:highlight w:val="none"/>
                <w:lang w:val="en-US" w:eastAsia="zh-CN"/>
              </w:rPr>
              <w:t>，基础性、实用性、个性化年度总服务成本应不低于</w:t>
            </w:r>
            <w:r>
              <w:rPr>
                <w:rFonts w:hint="eastAsia" w:eastAsia="仿宋_GB2312" w:cs="Times New Roman"/>
                <w:b/>
                <w:bCs w:val="0"/>
                <w:sz w:val="24"/>
                <w:szCs w:val="24"/>
                <w:highlight w:val="none"/>
                <w:lang w:val="en-US" w:eastAsia="zh-CN"/>
              </w:rPr>
              <w:t>43.5</w:t>
            </w:r>
            <w:r>
              <w:rPr>
                <w:rFonts w:hint="default" w:ascii="Times New Roman" w:hAnsi="Times New Roman" w:eastAsia="仿宋_GB2312" w:cs="Times New Roman"/>
                <w:b/>
                <w:bCs w:val="0"/>
                <w:sz w:val="24"/>
                <w:szCs w:val="24"/>
                <w:highlight w:val="none"/>
                <w:lang w:val="en-US" w:eastAsia="zh-CN"/>
              </w:rPr>
              <w:t>万元（含</w:t>
            </w:r>
            <w:r>
              <w:rPr>
                <w:rFonts w:hint="eastAsia" w:eastAsia="仿宋_GB2312" w:cs="Times New Roman"/>
                <w:b/>
                <w:bCs w:val="0"/>
                <w:sz w:val="24"/>
                <w:szCs w:val="24"/>
                <w:highlight w:val="none"/>
                <w:lang w:val="en-US" w:eastAsia="zh-CN"/>
              </w:rPr>
              <w:t>300</w:t>
            </w:r>
            <w:r>
              <w:rPr>
                <w:rFonts w:hint="default" w:ascii="Times New Roman" w:hAnsi="Times New Roman" w:eastAsia="仿宋_GB2312" w:cs="Times New Roman"/>
                <w:b/>
                <w:bCs w:val="0"/>
                <w:sz w:val="24"/>
                <w:szCs w:val="24"/>
                <w:highlight w:val="none"/>
                <w:lang w:val="en-US" w:eastAsia="zh-CN"/>
              </w:rPr>
              <w:t>次心理治疗和康复成本）。</w:t>
            </w:r>
          </w:p>
        </w:tc>
      </w:tr>
    </w:tbl>
    <w:p w14:paraId="16714A74">
      <w:pPr>
        <w:numPr>
          <w:ilvl w:val="0"/>
          <w:numId w:val="2"/>
        </w:numPr>
        <w:ind w:firstLine="640" w:firstLineChars="200"/>
        <w:rPr>
          <w:rFonts w:hint="default" w:ascii="Times New Roman" w:hAnsi="Times New Roman" w:eastAsia="黑体" w:cs="Times New Roman"/>
          <w:b w:val="0"/>
          <w:color w:val="000000"/>
          <w:kern w:val="0"/>
          <w:sz w:val="32"/>
          <w:szCs w:val="32"/>
          <w:highlight w:val="none"/>
          <w:lang w:val="en-US" w:eastAsia="zh-CN" w:bidi="ar"/>
        </w:rPr>
      </w:pPr>
      <w:r>
        <w:rPr>
          <w:rFonts w:hint="default" w:ascii="Times New Roman" w:hAnsi="Times New Roman" w:eastAsia="黑体" w:cs="Times New Roman"/>
          <w:b w:val="0"/>
          <w:color w:val="000000"/>
          <w:kern w:val="0"/>
          <w:sz w:val="32"/>
          <w:szCs w:val="32"/>
          <w:highlight w:val="none"/>
          <w:lang w:val="en-US" w:eastAsia="zh-CN" w:bidi="ar"/>
        </w:rPr>
        <w:t>服务要求</w:t>
      </w:r>
    </w:p>
    <w:tbl>
      <w:tblPr>
        <w:tblStyle w:val="8"/>
        <w:tblW w:w="862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1"/>
        <w:gridCol w:w="1410"/>
        <w:gridCol w:w="3531"/>
        <w:gridCol w:w="2782"/>
      </w:tblGrid>
      <w:tr w14:paraId="11E33B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2" w:hRule="atLeast"/>
          <w:jc w:val="center"/>
        </w:trPr>
        <w:tc>
          <w:tcPr>
            <w:tcW w:w="901" w:type="dxa"/>
            <w:shd w:val="clear" w:color="auto" w:fill="FFFFFF" w:themeFill="background1"/>
            <w:noWrap w:val="0"/>
            <w:vAlign w:val="center"/>
          </w:tcPr>
          <w:p w14:paraId="58605E83">
            <w:pPr>
              <w:jc w:val="center"/>
              <w:rPr>
                <w:rFonts w:hint="default" w:ascii="Times New Roman" w:hAnsi="Times New Roman" w:eastAsia="仿宋" w:cs="Times New Roman"/>
                <w:b/>
                <w:color w:val="auto"/>
                <w:sz w:val="24"/>
                <w:highlight w:val="none"/>
              </w:rPr>
            </w:pPr>
            <w:r>
              <w:rPr>
                <w:rFonts w:hint="default" w:ascii="Times New Roman" w:hAnsi="Times New Roman" w:eastAsia="仿宋" w:cs="Times New Roman"/>
                <w:b/>
                <w:color w:val="auto"/>
                <w:sz w:val="24"/>
                <w:highlight w:val="none"/>
                <w:lang w:val="en-US" w:eastAsia="zh-CN"/>
              </w:rPr>
              <w:br w:type="page"/>
            </w:r>
            <w:r>
              <w:rPr>
                <w:rFonts w:hint="default" w:ascii="Times New Roman" w:hAnsi="Times New Roman" w:eastAsia="仿宋" w:cs="Times New Roman"/>
                <w:b/>
                <w:color w:val="auto"/>
                <w:sz w:val="24"/>
                <w:highlight w:val="none"/>
                <w:lang w:val="en-US" w:eastAsia="zh-CN"/>
              </w:rPr>
              <w:t>序号</w:t>
            </w:r>
          </w:p>
        </w:tc>
        <w:tc>
          <w:tcPr>
            <w:tcW w:w="1410" w:type="dxa"/>
            <w:shd w:val="clear" w:color="auto" w:fill="FFFFFF" w:themeFill="background1"/>
            <w:noWrap w:val="0"/>
            <w:vAlign w:val="center"/>
          </w:tcPr>
          <w:p w14:paraId="6EE6814B">
            <w:pPr>
              <w:jc w:val="center"/>
              <w:rPr>
                <w:rFonts w:hint="default" w:ascii="Times New Roman" w:hAnsi="Times New Roman" w:eastAsia="仿宋" w:cs="Times New Roman"/>
                <w:b/>
                <w:color w:val="auto"/>
                <w:sz w:val="24"/>
                <w:highlight w:val="none"/>
                <w:lang w:val="en-US" w:eastAsia="zh-CN"/>
              </w:rPr>
            </w:pPr>
            <w:r>
              <w:rPr>
                <w:rFonts w:hint="default" w:ascii="Times New Roman" w:hAnsi="Times New Roman" w:eastAsia="仿宋" w:cs="Times New Roman"/>
                <w:b/>
                <w:color w:val="auto"/>
                <w:sz w:val="24"/>
                <w:highlight w:val="none"/>
              </w:rPr>
              <w:t>项目</w:t>
            </w:r>
            <w:r>
              <w:rPr>
                <w:rFonts w:hint="default" w:ascii="Times New Roman" w:hAnsi="Times New Roman" w:eastAsia="仿宋" w:cs="Times New Roman"/>
                <w:b/>
                <w:color w:val="auto"/>
                <w:sz w:val="24"/>
                <w:highlight w:val="none"/>
                <w:lang w:val="en-US" w:eastAsia="zh-CN"/>
              </w:rPr>
              <w:t>名称</w:t>
            </w:r>
          </w:p>
        </w:tc>
        <w:tc>
          <w:tcPr>
            <w:tcW w:w="3531" w:type="dxa"/>
            <w:shd w:val="clear" w:color="auto" w:fill="FFFFFF" w:themeFill="background1"/>
            <w:noWrap w:val="0"/>
            <w:vAlign w:val="center"/>
          </w:tcPr>
          <w:p w14:paraId="64AD034C">
            <w:pPr>
              <w:jc w:val="center"/>
              <w:rPr>
                <w:rFonts w:hint="default" w:ascii="Times New Roman" w:hAnsi="Times New Roman" w:eastAsia="仿宋" w:cs="Times New Roman"/>
                <w:b/>
                <w:color w:val="auto"/>
                <w:sz w:val="24"/>
                <w:highlight w:val="none"/>
                <w:lang w:val="en-US" w:eastAsia="zh-CN"/>
              </w:rPr>
            </w:pPr>
            <w:r>
              <w:rPr>
                <w:rFonts w:hint="default" w:ascii="Times New Roman" w:hAnsi="Times New Roman" w:eastAsia="仿宋" w:cs="Times New Roman"/>
                <w:b/>
                <w:color w:val="auto"/>
                <w:sz w:val="24"/>
                <w:highlight w:val="none"/>
                <w:lang w:val="en-US" w:eastAsia="zh-CN"/>
              </w:rPr>
              <w:t>项目要求</w:t>
            </w:r>
          </w:p>
        </w:tc>
        <w:tc>
          <w:tcPr>
            <w:tcW w:w="2782" w:type="dxa"/>
            <w:tcBorders>
              <w:right w:val="single" w:color="auto" w:sz="4" w:space="0"/>
            </w:tcBorders>
            <w:shd w:val="clear" w:color="auto" w:fill="FFFFFF" w:themeFill="background1"/>
            <w:noWrap w:val="0"/>
            <w:vAlign w:val="center"/>
          </w:tcPr>
          <w:p w14:paraId="1698B028">
            <w:pPr>
              <w:jc w:val="center"/>
              <w:rPr>
                <w:rFonts w:hint="default" w:ascii="Times New Roman" w:hAnsi="Times New Roman" w:eastAsia="仿宋" w:cs="Times New Roman"/>
                <w:b/>
                <w:color w:val="auto"/>
                <w:sz w:val="24"/>
                <w:highlight w:val="none"/>
                <w:lang w:val="en-US" w:eastAsia="zh-CN"/>
              </w:rPr>
            </w:pPr>
            <w:r>
              <w:rPr>
                <w:rFonts w:hint="default" w:ascii="Times New Roman" w:hAnsi="Times New Roman" w:eastAsia="仿宋" w:cs="Times New Roman"/>
                <w:b/>
                <w:color w:val="auto"/>
                <w:sz w:val="24"/>
                <w:highlight w:val="none"/>
                <w:lang w:val="en-US" w:eastAsia="zh-CN"/>
              </w:rPr>
              <w:t>项目指标</w:t>
            </w:r>
          </w:p>
        </w:tc>
      </w:tr>
      <w:tr w14:paraId="182D6A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2" w:hRule="atLeast"/>
          <w:jc w:val="center"/>
        </w:trPr>
        <w:tc>
          <w:tcPr>
            <w:tcW w:w="901" w:type="dxa"/>
            <w:noWrap w:val="0"/>
            <w:vAlign w:val="center"/>
          </w:tcPr>
          <w:p w14:paraId="1D1FB274">
            <w:pPr>
              <w:jc w:val="center"/>
              <w:rPr>
                <w:rFonts w:hint="default" w:ascii="Times New Roman" w:hAnsi="Times New Roman" w:eastAsia="仿宋" w:cs="Times New Roman"/>
                <w:b/>
                <w:sz w:val="24"/>
                <w:highlight w:val="none"/>
                <w:lang w:val="en-US" w:eastAsia="zh-CN"/>
              </w:rPr>
            </w:pPr>
            <w:r>
              <w:rPr>
                <w:rFonts w:hint="default" w:ascii="Times New Roman" w:hAnsi="Times New Roman" w:eastAsia="仿宋" w:cs="Times New Roman"/>
                <w:b/>
                <w:sz w:val="24"/>
                <w:highlight w:val="none"/>
                <w:lang w:val="en-US" w:eastAsia="zh-CN"/>
              </w:rPr>
              <w:t>1</w:t>
            </w:r>
          </w:p>
        </w:tc>
        <w:tc>
          <w:tcPr>
            <w:tcW w:w="1410" w:type="dxa"/>
            <w:noWrap w:val="0"/>
            <w:vAlign w:val="center"/>
          </w:tcPr>
          <w:p w14:paraId="1DC62F17">
            <w:pPr>
              <w:jc w:val="center"/>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rPr>
              <w:t>社区宣传</w:t>
            </w:r>
            <w:r>
              <w:rPr>
                <w:rFonts w:hint="default" w:ascii="Times New Roman" w:hAnsi="Times New Roman" w:eastAsia="仿宋" w:cs="Times New Roman"/>
                <w:sz w:val="24"/>
                <w:highlight w:val="none"/>
                <w:lang w:val="en-US" w:eastAsia="zh-CN"/>
              </w:rPr>
              <w:t>服务</w:t>
            </w:r>
          </w:p>
        </w:tc>
        <w:tc>
          <w:tcPr>
            <w:tcW w:w="3531" w:type="dxa"/>
            <w:noWrap w:val="0"/>
            <w:vAlign w:val="center"/>
          </w:tcPr>
          <w:p w14:paraId="448CA072">
            <w:pPr>
              <w:keepNext w:val="0"/>
              <w:keepLines w:val="0"/>
              <w:widowControl/>
              <w:suppressLineNumbers w:val="0"/>
              <w:jc w:val="left"/>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深入街道、社区开展精康政策宣传</w:t>
            </w:r>
            <w:r>
              <w:rPr>
                <w:rFonts w:hint="eastAsia" w:eastAsia="仿宋" w:cs="Times New Roman"/>
                <w:sz w:val="24"/>
                <w:highlight w:val="none"/>
                <w:lang w:val="en-US" w:eastAsia="zh-CN"/>
              </w:rPr>
              <w:t>、预防和康复知识普及等</w:t>
            </w:r>
            <w:r>
              <w:rPr>
                <w:rFonts w:hint="default" w:ascii="Times New Roman" w:hAnsi="Times New Roman" w:eastAsia="仿宋" w:cs="Times New Roman"/>
                <w:sz w:val="24"/>
                <w:highlight w:val="none"/>
                <w:lang w:val="en-US" w:eastAsia="zh-CN"/>
              </w:rPr>
              <w:t>活动，</w:t>
            </w:r>
            <w:r>
              <w:rPr>
                <w:rFonts w:hint="eastAsia" w:eastAsia="仿宋" w:cs="Times New Roman"/>
                <w:sz w:val="24"/>
                <w:highlight w:val="none"/>
                <w:lang w:val="en-US" w:eastAsia="zh-CN"/>
              </w:rPr>
              <w:t>营造全社会关心关注精神障碍社区康复服务工作的良好舆论氛围</w:t>
            </w:r>
            <w:r>
              <w:rPr>
                <w:rFonts w:hint="default" w:ascii="Times New Roman" w:hAnsi="Times New Roman" w:eastAsia="仿宋" w:cs="Times New Roman"/>
                <w:sz w:val="24"/>
                <w:highlight w:val="none"/>
                <w:lang w:val="en-US" w:eastAsia="zh-CN"/>
              </w:rPr>
              <w:t>。</w:t>
            </w:r>
          </w:p>
        </w:tc>
        <w:tc>
          <w:tcPr>
            <w:tcW w:w="2782" w:type="dxa"/>
            <w:tcBorders>
              <w:right w:val="single" w:color="auto" w:sz="4" w:space="0"/>
            </w:tcBorders>
            <w:noWrap w:val="0"/>
            <w:vAlign w:val="center"/>
          </w:tcPr>
          <w:p w14:paraId="43FCCE16">
            <w:pPr>
              <w:jc w:val="center"/>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每季度开展1次；服务年度内2次获得媒体宣传报道</w:t>
            </w:r>
            <w:r>
              <w:rPr>
                <w:rFonts w:hint="eastAsia" w:eastAsia="仿宋" w:cs="Times New Roman"/>
                <w:sz w:val="24"/>
                <w:highlight w:val="none"/>
                <w:lang w:val="en-US" w:eastAsia="zh-CN"/>
              </w:rPr>
              <w:t>。</w:t>
            </w:r>
          </w:p>
        </w:tc>
      </w:tr>
      <w:tr w14:paraId="158C2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8" w:hRule="atLeast"/>
          <w:jc w:val="center"/>
        </w:trPr>
        <w:tc>
          <w:tcPr>
            <w:tcW w:w="901" w:type="dxa"/>
            <w:noWrap w:val="0"/>
            <w:vAlign w:val="center"/>
          </w:tcPr>
          <w:p w14:paraId="38A1BCD4">
            <w:pPr>
              <w:jc w:val="center"/>
              <w:rPr>
                <w:rFonts w:hint="default" w:ascii="Times New Roman" w:hAnsi="Times New Roman" w:eastAsia="仿宋" w:cs="Times New Roman"/>
                <w:b/>
                <w:sz w:val="24"/>
                <w:highlight w:val="none"/>
                <w:lang w:val="en-US" w:eastAsia="zh-CN"/>
              </w:rPr>
            </w:pPr>
            <w:r>
              <w:rPr>
                <w:rFonts w:hint="default" w:ascii="Times New Roman" w:hAnsi="Times New Roman" w:eastAsia="仿宋" w:cs="Times New Roman"/>
                <w:b/>
                <w:sz w:val="24"/>
                <w:highlight w:val="none"/>
                <w:lang w:val="en-US" w:eastAsia="zh-CN"/>
              </w:rPr>
              <w:t>2</w:t>
            </w:r>
          </w:p>
        </w:tc>
        <w:tc>
          <w:tcPr>
            <w:tcW w:w="1410" w:type="dxa"/>
            <w:noWrap w:val="0"/>
            <w:vAlign w:val="center"/>
          </w:tcPr>
          <w:p w14:paraId="1E23B4C6">
            <w:pPr>
              <w:jc w:val="center"/>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会议研讨</w:t>
            </w:r>
          </w:p>
        </w:tc>
        <w:tc>
          <w:tcPr>
            <w:tcW w:w="3531" w:type="dxa"/>
            <w:noWrap w:val="0"/>
            <w:vAlign w:val="center"/>
          </w:tcPr>
          <w:p w14:paraId="675672ED">
            <w:pPr>
              <w:jc w:val="left"/>
              <w:rPr>
                <w:rFonts w:hint="eastAsia" w:eastAsia="仿宋" w:cs="Times New Roman"/>
                <w:sz w:val="24"/>
                <w:highlight w:val="none"/>
                <w:lang w:eastAsia="zh-CN"/>
              </w:rPr>
            </w:pPr>
            <w:r>
              <w:rPr>
                <w:rFonts w:hint="default" w:ascii="Times New Roman" w:hAnsi="Times New Roman" w:eastAsia="仿宋" w:cs="Times New Roman"/>
                <w:sz w:val="24"/>
                <w:highlight w:val="none"/>
              </w:rPr>
              <w:t>主要对重点难点服务对象的服务资格评定、需求评估、服务计划制定、资源链接等问题进行讨论</w:t>
            </w:r>
            <w:r>
              <w:rPr>
                <w:rFonts w:hint="eastAsia" w:eastAsia="仿宋" w:cs="Times New Roman"/>
                <w:sz w:val="24"/>
                <w:highlight w:val="none"/>
                <w:lang w:eastAsia="zh-CN"/>
              </w:rPr>
              <w:t>；</w:t>
            </w:r>
          </w:p>
          <w:p w14:paraId="545FE51F">
            <w:pPr>
              <w:jc w:val="left"/>
              <w:rPr>
                <w:rFonts w:hint="eastAsia" w:eastAsia="仿宋" w:cs="Times New Roman"/>
                <w:sz w:val="24"/>
                <w:highlight w:val="none"/>
                <w:lang w:eastAsia="zh-CN"/>
              </w:rPr>
            </w:pPr>
            <w:r>
              <w:rPr>
                <w:rFonts w:hint="default" w:ascii="Times New Roman" w:hAnsi="Times New Roman" w:eastAsia="仿宋" w:cs="Times New Roman"/>
                <w:sz w:val="24"/>
                <w:highlight w:val="none"/>
              </w:rPr>
              <w:t>开展个案讨论研究</w:t>
            </w:r>
            <w:r>
              <w:rPr>
                <w:rFonts w:hint="eastAsia" w:eastAsia="仿宋" w:cs="Times New Roman"/>
                <w:sz w:val="24"/>
                <w:highlight w:val="none"/>
                <w:lang w:eastAsia="zh-CN"/>
              </w:rPr>
              <w:t>；</w:t>
            </w:r>
          </w:p>
          <w:p w14:paraId="4324E919">
            <w:pPr>
              <w:jc w:val="left"/>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rPr>
              <w:t>对团体训练外出服务等重难点项目的内容设置、安全保障等工作进行研究</w:t>
            </w:r>
            <w:r>
              <w:rPr>
                <w:rFonts w:hint="eastAsia" w:eastAsia="仿宋" w:cs="Times New Roman"/>
                <w:sz w:val="24"/>
                <w:highlight w:val="none"/>
                <w:lang w:eastAsia="zh-CN"/>
              </w:rPr>
              <w:t>（</w:t>
            </w:r>
            <w:r>
              <w:rPr>
                <w:rFonts w:hint="default" w:ascii="Times New Roman" w:hAnsi="Times New Roman" w:eastAsia="仿宋" w:cs="Times New Roman"/>
                <w:sz w:val="24"/>
                <w:highlight w:val="none"/>
              </w:rPr>
              <w:t>可通过集体会议的方式形成集体决定</w:t>
            </w:r>
            <w:r>
              <w:rPr>
                <w:rFonts w:hint="eastAsia" w:eastAsia="仿宋" w:cs="Times New Roman"/>
                <w:sz w:val="24"/>
                <w:highlight w:val="none"/>
                <w:lang w:eastAsia="zh-CN"/>
              </w:rPr>
              <w:t>）</w:t>
            </w:r>
            <w:r>
              <w:rPr>
                <w:rFonts w:hint="default" w:ascii="Times New Roman" w:hAnsi="Times New Roman" w:eastAsia="仿宋" w:cs="Times New Roman"/>
                <w:sz w:val="24"/>
                <w:highlight w:val="none"/>
              </w:rPr>
              <w:t>，最大限度保障服务专业性和资源配置合理性</w:t>
            </w:r>
            <w:r>
              <w:rPr>
                <w:rFonts w:hint="default" w:ascii="Times New Roman" w:hAnsi="Times New Roman" w:eastAsia="仿宋" w:cs="Times New Roman"/>
                <w:sz w:val="24"/>
                <w:highlight w:val="none"/>
                <w:lang w:eastAsia="zh-CN"/>
              </w:rPr>
              <w:t>。</w:t>
            </w:r>
          </w:p>
        </w:tc>
        <w:tc>
          <w:tcPr>
            <w:tcW w:w="2782" w:type="dxa"/>
            <w:tcBorders>
              <w:right w:val="single" w:color="auto" w:sz="4" w:space="0"/>
            </w:tcBorders>
            <w:noWrap w:val="0"/>
            <w:vAlign w:val="center"/>
          </w:tcPr>
          <w:p w14:paraId="3865D3B9">
            <w:pPr>
              <w:jc w:val="center"/>
              <w:rPr>
                <w:rFonts w:hint="eastAsia"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rPr>
              <w:t>每月至少召开一次</w:t>
            </w:r>
            <w:r>
              <w:rPr>
                <w:rFonts w:hint="eastAsia" w:eastAsia="仿宋" w:cs="Times New Roman"/>
                <w:sz w:val="24"/>
                <w:highlight w:val="none"/>
                <w:lang w:eastAsia="zh-CN"/>
              </w:rPr>
              <w:t>。</w:t>
            </w:r>
          </w:p>
        </w:tc>
      </w:tr>
      <w:tr w14:paraId="50D539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5" w:hRule="atLeast"/>
          <w:jc w:val="center"/>
        </w:trPr>
        <w:tc>
          <w:tcPr>
            <w:tcW w:w="901" w:type="dxa"/>
            <w:noWrap w:val="0"/>
            <w:vAlign w:val="center"/>
          </w:tcPr>
          <w:p w14:paraId="1245A9C6">
            <w:pPr>
              <w:jc w:val="center"/>
              <w:rPr>
                <w:rFonts w:hint="default" w:ascii="Times New Roman" w:hAnsi="Times New Roman" w:eastAsia="仿宋" w:cs="Times New Roman"/>
                <w:sz w:val="24"/>
                <w:highlight w:val="none"/>
                <w:lang w:eastAsia="zh-CN"/>
              </w:rPr>
            </w:pPr>
            <w:r>
              <w:rPr>
                <w:rFonts w:hint="default" w:ascii="Times New Roman" w:hAnsi="Times New Roman" w:eastAsia="仿宋" w:cs="Times New Roman"/>
                <w:sz w:val="24"/>
                <w:highlight w:val="none"/>
                <w:lang w:val="en-US" w:eastAsia="zh-CN"/>
              </w:rPr>
              <w:t>3</w:t>
            </w:r>
          </w:p>
        </w:tc>
        <w:tc>
          <w:tcPr>
            <w:tcW w:w="1410" w:type="dxa"/>
            <w:noWrap w:val="0"/>
            <w:vAlign w:val="center"/>
          </w:tcPr>
          <w:p w14:paraId="387DA3E4">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开展社工服务能力提升相关培训</w:t>
            </w:r>
          </w:p>
        </w:tc>
        <w:tc>
          <w:tcPr>
            <w:tcW w:w="3531" w:type="dxa"/>
            <w:noWrap w:val="0"/>
            <w:vAlign w:val="center"/>
          </w:tcPr>
          <w:p w14:paraId="1F2D58F7">
            <w:pPr>
              <w:jc w:val="left"/>
              <w:rPr>
                <w:rFonts w:hint="default" w:ascii="Times New Roman" w:hAnsi="Times New Roman" w:eastAsia="仿宋" w:cs="Times New Roman"/>
                <w:sz w:val="24"/>
                <w:highlight w:val="none"/>
                <w:lang w:val="en-US" w:eastAsia="zh-CN"/>
              </w:rPr>
            </w:pPr>
            <w:r>
              <w:rPr>
                <w:rFonts w:hint="eastAsia" w:eastAsia="仿宋" w:cs="Times New Roman"/>
                <w:sz w:val="24"/>
                <w:highlight w:val="none"/>
                <w:lang w:val="en-US" w:eastAsia="zh-CN"/>
              </w:rPr>
              <w:t>从事评估转介的社会工作者应经过精神障碍康复需求评估能力培训。</w:t>
            </w:r>
          </w:p>
        </w:tc>
        <w:tc>
          <w:tcPr>
            <w:tcW w:w="2782" w:type="dxa"/>
            <w:tcBorders>
              <w:right w:val="single" w:color="auto" w:sz="4" w:space="0"/>
            </w:tcBorders>
            <w:noWrap w:val="0"/>
            <w:vAlign w:val="center"/>
          </w:tcPr>
          <w:p w14:paraId="2C1AA6D7">
            <w:pPr>
              <w:jc w:val="center"/>
              <w:rPr>
                <w:rFonts w:hint="default" w:ascii="Times New Roman" w:hAnsi="Times New Roman" w:eastAsia="仿宋" w:cs="Times New Roman"/>
                <w:sz w:val="24"/>
                <w:highlight w:val="none"/>
              </w:rPr>
            </w:pPr>
            <w:r>
              <w:rPr>
                <w:rFonts w:hint="eastAsia" w:eastAsia="仿宋" w:cs="Times New Roman"/>
                <w:sz w:val="24"/>
                <w:highlight w:val="none"/>
                <w:lang w:val="en-US" w:eastAsia="zh-CN"/>
              </w:rPr>
              <w:t>制定年度培训</w:t>
            </w:r>
            <w:r>
              <w:rPr>
                <w:rFonts w:hint="eastAsia" w:ascii="Times New Roman" w:hAnsi="Times New Roman" w:eastAsia="仿宋" w:cs="Times New Roman"/>
                <w:sz w:val="24"/>
                <w:highlight w:val="none"/>
                <w:lang w:val="en-US" w:eastAsia="zh-CN"/>
              </w:rPr>
              <w:t>计划，新入职人员完成岗前培训，</w:t>
            </w:r>
            <w:r>
              <w:rPr>
                <w:rFonts w:hint="default" w:ascii="Times New Roman" w:hAnsi="Times New Roman" w:eastAsia="仿宋" w:cs="Times New Roman"/>
                <w:sz w:val="24"/>
                <w:highlight w:val="none"/>
                <w:lang w:val="en-US" w:eastAsia="zh-CN"/>
              </w:rPr>
              <w:t>每</w:t>
            </w:r>
            <w:r>
              <w:rPr>
                <w:rFonts w:hint="default" w:ascii="Times New Roman" w:hAnsi="Times New Roman" w:eastAsia="仿宋" w:cs="Times New Roman"/>
                <w:sz w:val="24"/>
                <w:highlight w:val="none"/>
              </w:rPr>
              <w:t>名工作人员一年</w:t>
            </w:r>
            <w:r>
              <w:rPr>
                <w:rFonts w:hint="eastAsia" w:ascii="Times New Roman" w:hAnsi="Times New Roman" w:eastAsia="仿宋" w:cs="Times New Roman"/>
                <w:sz w:val="24"/>
                <w:highlight w:val="none"/>
                <w:lang w:val="en-US" w:eastAsia="zh-CN"/>
              </w:rPr>
              <w:t>至少接</w:t>
            </w:r>
            <w:r>
              <w:rPr>
                <w:rFonts w:hint="eastAsia" w:eastAsia="仿宋" w:cs="Times New Roman"/>
                <w:sz w:val="24"/>
                <w:highlight w:val="none"/>
                <w:lang w:val="en-US" w:eastAsia="zh-CN"/>
              </w:rPr>
              <w:t>受20小时的精神障碍康复专业知识培训。</w:t>
            </w:r>
          </w:p>
        </w:tc>
      </w:tr>
      <w:tr w14:paraId="4D485D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901" w:type="dxa"/>
            <w:noWrap w:val="0"/>
            <w:vAlign w:val="center"/>
          </w:tcPr>
          <w:p w14:paraId="286A3ABE">
            <w:pPr>
              <w:jc w:val="center"/>
              <w:rPr>
                <w:rFonts w:hint="default" w:ascii="Times New Roman" w:hAnsi="Times New Roman" w:eastAsia="仿宋" w:cs="Times New Roman"/>
                <w:sz w:val="24"/>
                <w:highlight w:val="none"/>
                <w:lang w:val="en-US" w:eastAsia="zh-CN"/>
              </w:rPr>
            </w:pPr>
            <w:r>
              <w:rPr>
                <w:rFonts w:hint="eastAsia" w:eastAsia="仿宋" w:cs="Times New Roman"/>
                <w:sz w:val="24"/>
                <w:highlight w:val="none"/>
                <w:lang w:val="en-US" w:eastAsia="zh-CN"/>
              </w:rPr>
              <w:t>4</w:t>
            </w:r>
          </w:p>
        </w:tc>
        <w:tc>
          <w:tcPr>
            <w:tcW w:w="1410" w:type="dxa"/>
            <w:noWrap w:val="0"/>
            <w:vAlign w:val="center"/>
          </w:tcPr>
          <w:p w14:paraId="3F2BD8E6">
            <w:pPr>
              <w:jc w:val="center"/>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服务计划</w:t>
            </w:r>
          </w:p>
        </w:tc>
        <w:tc>
          <w:tcPr>
            <w:tcW w:w="3531" w:type="dxa"/>
            <w:noWrap w:val="0"/>
            <w:vAlign w:val="center"/>
          </w:tcPr>
          <w:p w14:paraId="3B63A950">
            <w:pPr>
              <w:jc w:val="left"/>
              <w:rPr>
                <w:rFonts w:hint="default" w:ascii="Times New Roman" w:hAnsi="Times New Roman" w:eastAsia="仿宋" w:cs="Times New Roman"/>
                <w:sz w:val="24"/>
                <w:highlight w:val="none"/>
                <w:lang w:val="en-US" w:eastAsia="zh-CN"/>
              </w:rPr>
            </w:pPr>
            <w:r>
              <w:rPr>
                <w:rFonts w:hint="eastAsia" w:eastAsia="仿宋" w:cs="Times New Roman"/>
                <w:sz w:val="24"/>
                <w:highlight w:val="none"/>
                <w:lang w:val="en-US" w:eastAsia="zh-CN"/>
              </w:rPr>
              <w:t>定期更新</w:t>
            </w:r>
            <w:r>
              <w:rPr>
                <w:rFonts w:hint="default" w:ascii="Times New Roman" w:hAnsi="Times New Roman" w:eastAsia="仿宋" w:cs="Times New Roman"/>
                <w:sz w:val="24"/>
                <w:highlight w:val="none"/>
                <w:lang w:val="en-US" w:eastAsia="zh-CN"/>
              </w:rPr>
              <w:t>服务计划</w:t>
            </w:r>
            <w:r>
              <w:rPr>
                <w:rFonts w:hint="eastAsia" w:eastAsia="仿宋" w:cs="Times New Roman"/>
                <w:sz w:val="24"/>
                <w:highlight w:val="none"/>
                <w:lang w:val="en-US" w:eastAsia="zh-CN"/>
              </w:rPr>
              <w:t>。</w:t>
            </w:r>
          </w:p>
        </w:tc>
        <w:tc>
          <w:tcPr>
            <w:tcW w:w="2782" w:type="dxa"/>
            <w:tcBorders>
              <w:right w:val="single" w:color="auto" w:sz="4" w:space="0"/>
            </w:tcBorders>
            <w:noWrap w:val="0"/>
            <w:vAlign w:val="center"/>
          </w:tcPr>
          <w:p w14:paraId="2971AF71">
            <w:pPr>
              <w:jc w:val="center"/>
              <w:rPr>
                <w:rFonts w:hint="default" w:ascii="Times New Roman" w:hAnsi="Times New Roman" w:eastAsia="仿宋" w:cs="Times New Roman"/>
                <w:sz w:val="24"/>
                <w:highlight w:val="none"/>
                <w:lang w:val="en-US" w:eastAsia="zh-CN"/>
              </w:rPr>
            </w:pPr>
            <w:r>
              <w:rPr>
                <w:rFonts w:hint="default" w:ascii="Times New Roman" w:hAnsi="Times New Roman" w:eastAsia="仿宋" w:cs="Times New Roman"/>
                <w:sz w:val="24"/>
                <w:highlight w:val="none"/>
                <w:lang w:val="en-US" w:eastAsia="zh-CN"/>
              </w:rPr>
              <w:t>每季度至少更新1次</w:t>
            </w:r>
            <w:r>
              <w:rPr>
                <w:rFonts w:hint="eastAsia" w:eastAsia="仿宋" w:cs="Times New Roman"/>
                <w:sz w:val="24"/>
                <w:highlight w:val="none"/>
                <w:lang w:val="en-US" w:eastAsia="zh-CN"/>
              </w:rPr>
              <w:t>。</w:t>
            </w:r>
          </w:p>
        </w:tc>
      </w:tr>
      <w:tr w14:paraId="529744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3" w:hRule="atLeast"/>
          <w:jc w:val="center"/>
        </w:trPr>
        <w:tc>
          <w:tcPr>
            <w:tcW w:w="901" w:type="dxa"/>
            <w:noWrap w:val="0"/>
            <w:vAlign w:val="center"/>
          </w:tcPr>
          <w:p w14:paraId="118CFF60">
            <w:pPr>
              <w:jc w:val="center"/>
              <w:rPr>
                <w:rFonts w:hint="default" w:eastAsia="仿宋" w:cs="Times New Roman"/>
                <w:sz w:val="24"/>
                <w:highlight w:val="none"/>
                <w:lang w:val="en-US" w:eastAsia="zh-CN"/>
              </w:rPr>
            </w:pPr>
            <w:r>
              <w:rPr>
                <w:rFonts w:hint="eastAsia" w:eastAsia="仿宋" w:cs="Times New Roman"/>
                <w:sz w:val="24"/>
                <w:highlight w:val="none"/>
                <w:lang w:val="en-US" w:eastAsia="zh-CN"/>
              </w:rPr>
              <w:t>5</w:t>
            </w:r>
          </w:p>
        </w:tc>
        <w:tc>
          <w:tcPr>
            <w:tcW w:w="1410" w:type="dxa"/>
            <w:noWrap w:val="0"/>
            <w:vAlign w:val="center"/>
          </w:tcPr>
          <w:p w14:paraId="22B2C2BD">
            <w:pPr>
              <w:jc w:val="center"/>
              <w:rPr>
                <w:rFonts w:hint="eastAsia" w:ascii="Times New Roman" w:hAnsi="Times New Roman" w:eastAsia="仿宋" w:cs="Times New Roman"/>
                <w:sz w:val="24"/>
                <w:highlight w:val="none"/>
                <w:lang w:val="en-US" w:eastAsia="zh-CN"/>
              </w:rPr>
            </w:pPr>
            <w:r>
              <w:rPr>
                <w:rFonts w:hint="eastAsia" w:ascii="仿宋" w:hAnsi="仿宋" w:eastAsia="仿宋" w:cs="仿宋"/>
                <w:sz w:val="24"/>
                <w:highlight w:val="none"/>
              </w:rPr>
              <w:t>开展社区调研工</w:t>
            </w:r>
            <w:r>
              <w:rPr>
                <w:rFonts w:hint="eastAsia" w:ascii="仿宋" w:hAnsi="仿宋" w:eastAsia="仿宋" w:cs="仿宋"/>
                <w:sz w:val="24"/>
                <w:highlight w:val="none"/>
                <w:lang w:val="en-US" w:eastAsia="zh-CN"/>
              </w:rPr>
              <w:t>作</w:t>
            </w:r>
          </w:p>
        </w:tc>
        <w:tc>
          <w:tcPr>
            <w:tcW w:w="3531" w:type="dxa"/>
            <w:noWrap w:val="0"/>
            <w:vAlign w:val="center"/>
          </w:tcPr>
          <w:p w14:paraId="2BF953BB">
            <w:pPr>
              <w:jc w:val="left"/>
              <w:rPr>
                <w:rFonts w:hint="default" w:ascii="Times New Roman" w:hAnsi="Times New Roman" w:eastAsia="仿宋" w:cs="Times New Roman"/>
                <w:sz w:val="24"/>
                <w:highlight w:val="none"/>
                <w:lang w:val="en-US" w:eastAsia="zh-CN"/>
              </w:rPr>
            </w:pPr>
            <w:r>
              <w:rPr>
                <w:rFonts w:hint="eastAsia" w:eastAsia="仿宋" w:cs="Times New Roman"/>
                <w:sz w:val="24"/>
                <w:highlight w:val="none"/>
                <w:lang w:val="en-US" w:eastAsia="zh-CN"/>
              </w:rPr>
              <w:t>开展项目调研工作。</w:t>
            </w:r>
          </w:p>
        </w:tc>
        <w:tc>
          <w:tcPr>
            <w:tcW w:w="2782" w:type="dxa"/>
            <w:tcBorders>
              <w:right w:val="single" w:color="auto" w:sz="4" w:space="0"/>
            </w:tcBorders>
            <w:noWrap w:val="0"/>
            <w:vAlign w:val="center"/>
          </w:tcPr>
          <w:p w14:paraId="3FC6FE61">
            <w:pPr>
              <w:jc w:val="center"/>
              <w:rPr>
                <w:rFonts w:hint="default" w:ascii="Times New Roman" w:hAnsi="Times New Roman" w:eastAsia="仿宋" w:cs="Times New Roman"/>
                <w:sz w:val="24"/>
                <w:highlight w:val="none"/>
                <w:lang w:val="en-US" w:eastAsia="zh-CN"/>
              </w:rPr>
            </w:pPr>
            <w:r>
              <w:rPr>
                <w:rFonts w:hint="eastAsia" w:eastAsia="仿宋" w:cs="Times New Roman"/>
                <w:sz w:val="24"/>
                <w:highlight w:val="none"/>
                <w:lang w:val="en-US" w:eastAsia="zh-CN"/>
              </w:rPr>
              <w:t>形成调研报告1篇。</w:t>
            </w:r>
          </w:p>
        </w:tc>
      </w:tr>
      <w:tr w14:paraId="3BFA27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74" w:hRule="atLeast"/>
          <w:jc w:val="center"/>
        </w:trPr>
        <w:tc>
          <w:tcPr>
            <w:tcW w:w="901" w:type="dxa"/>
            <w:noWrap w:val="0"/>
            <w:vAlign w:val="center"/>
          </w:tcPr>
          <w:p w14:paraId="2F3E7359">
            <w:pPr>
              <w:jc w:val="center"/>
              <w:rPr>
                <w:rFonts w:hint="default" w:eastAsia="仿宋" w:cs="Times New Roman"/>
                <w:sz w:val="24"/>
                <w:highlight w:val="none"/>
                <w:lang w:val="en-US" w:eastAsia="zh-CN"/>
              </w:rPr>
            </w:pPr>
            <w:r>
              <w:rPr>
                <w:rFonts w:hint="eastAsia" w:eastAsia="仿宋" w:cs="Times New Roman"/>
                <w:sz w:val="24"/>
                <w:highlight w:val="none"/>
                <w:lang w:val="en-US" w:eastAsia="zh-CN"/>
              </w:rPr>
              <w:t>6</w:t>
            </w:r>
          </w:p>
        </w:tc>
        <w:tc>
          <w:tcPr>
            <w:tcW w:w="1410" w:type="dxa"/>
            <w:noWrap w:val="0"/>
            <w:vAlign w:val="center"/>
          </w:tcPr>
          <w:p w14:paraId="4B3D07E1">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建立健全工作机制</w:t>
            </w:r>
          </w:p>
        </w:tc>
        <w:tc>
          <w:tcPr>
            <w:tcW w:w="3531" w:type="dxa"/>
            <w:noWrap w:val="0"/>
            <w:vAlign w:val="center"/>
          </w:tcPr>
          <w:p w14:paraId="3A98FB53">
            <w:pPr>
              <w:jc w:val="left"/>
              <w:rPr>
                <w:rFonts w:hint="eastAsia" w:eastAsia="仿宋" w:cs="Times New Roman"/>
                <w:sz w:val="24"/>
                <w:highlight w:val="none"/>
                <w:lang w:val="en-US" w:eastAsia="zh-CN"/>
              </w:rPr>
            </w:pPr>
            <w:r>
              <w:rPr>
                <w:rFonts w:hint="eastAsia" w:eastAsia="仿宋" w:cs="Times New Roman"/>
                <w:sz w:val="24"/>
                <w:highlight w:val="none"/>
                <w:lang w:val="en-US" w:eastAsia="zh-CN"/>
              </w:rPr>
              <w:t>按要求建立日常管理、安全管理、会议培训、档案管理、财务管理、场所管理制度。根据消防安全、公共卫生事件、自然灾害、防范服务对象肇事肇祸风险等工作要求，制定应急工作预案制度及特殊情况处置办法。</w:t>
            </w:r>
          </w:p>
        </w:tc>
        <w:tc>
          <w:tcPr>
            <w:tcW w:w="2782" w:type="dxa"/>
            <w:tcBorders>
              <w:right w:val="single" w:color="auto" w:sz="4" w:space="0"/>
            </w:tcBorders>
            <w:noWrap w:val="0"/>
            <w:vAlign w:val="center"/>
          </w:tcPr>
          <w:p w14:paraId="72B02E53">
            <w:pPr>
              <w:jc w:val="center"/>
              <w:rPr>
                <w:rFonts w:hint="eastAsia" w:eastAsia="仿宋" w:cs="Times New Roman"/>
                <w:sz w:val="24"/>
                <w:highlight w:val="none"/>
                <w:lang w:val="en-US" w:eastAsia="zh-CN"/>
              </w:rPr>
            </w:pPr>
          </w:p>
        </w:tc>
      </w:tr>
      <w:tr w14:paraId="4BA8B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6" w:hRule="atLeast"/>
          <w:jc w:val="center"/>
        </w:trPr>
        <w:tc>
          <w:tcPr>
            <w:tcW w:w="901" w:type="dxa"/>
            <w:noWrap w:val="0"/>
            <w:vAlign w:val="center"/>
          </w:tcPr>
          <w:p w14:paraId="7142B418">
            <w:pPr>
              <w:jc w:val="center"/>
              <w:rPr>
                <w:rFonts w:hint="default" w:eastAsia="仿宋" w:cs="Times New Roman"/>
                <w:sz w:val="24"/>
                <w:highlight w:val="none"/>
                <w:lang w:val="en-US" w:eastAsia="zh-CN"/>
              </w:rPr>
            </w:pPr>
            <w:r>
              <w:rPr>
                <w:rFonts w:hint="eastAsia" w:eastAsia="仿宋" w:cs="Times New Roman"/>
                <w:sz w:val="24"/>
                <w:highlight w:val="none"/>
                <w:lang w:val="en-US" w:eastAsia="zh-CN"/>
              </w:rPr>
              <w:t>7</w:t>
            </w:r>
          </w:p>
        </w:tc>
        <w:tc>
          <w:tcPr>
            <w:tcW w:w="1410" w:type="dxa"/>
            <w:noWrap w:val="0"/>
            <w:vAlign w:val="center"/>
          </w:tcPr>
          <w:p w14:paraId="197776DA">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服务意愿摸查</w:t>
            </w:r>
          </w:p>
        </w:tc>
        <w:tc>
          <w:tcPr>
            <w:tcW w:w="3531" w:type="dxa"/>
            <w:noWrap w:val="0"/>
            <w:vAlign w:val="center"/>
          </w:tcPr>
          <w:p w14:paraId="090787AF">
            <w:pPr>
              <w:jc w:val="left"/>
              <w:rPr>
                <w:rFonts w:hint="eastAsia" w:eastAsia="仿宋" w:cs="Times New Roman"/>
                <w:sz w:val="24"/>
                <w:highlight w:val="none"/>
                <w:lang w:val="en-US" w:eastAsia="zh-CN"/>
              </w:rPr>
            </w:pPr>
            <w:r>
              <w:rPr>
                <w:rFonts w:hint="eastAsia" w:eastAsia="仿宋" w:cs="Times New Roman"/>
                <w:sz w:val="24"/>
                <w:highlight w:val="none"/>
                <w:lang w:val="en-US" w:eastAsia="zh-CN"/>
              </w:rPr>
              <w:t>主动对服务对象社区康复意愿进行排查。</w:t>
            </w:r>
          </w:p>
        </w:tc>
        <w:tc>
          <w:tcPr>
            <w:tcW w:w="2782" w:type="dxa"/>
            <w:tcBorders>
              <w:right w:val="single" w:color="auto" w:sz="4" w:space="0"/>
            </w:tcBorders>
            <w:noWrap w:val="0"/>
            <w:vAlign w:val="center"/>
          </w:tcPr>
          <w:p w14:paraId="1C2277B5">
            <w:pPr>
              <w:jc w:val="left"/>
              <w:rPr>
                <w:rFonts w:hint="eastAsia" w:eastAsia="仿宋" w:cs="Times New Roman"/>
                <w:sz w:val="24"/>
                <w:highlight w:val="none"/>
                <w:lang w:val="en-US" w:eastAsia="zh-CN"/>
              </w:rPr>
            </w:pPr>
            <w:r>
              <w:rPr>
                <w:rFonts w:hint="eastAsia" w:eastAsia="仿宋" w:cs="Times New Roman"/>
                <w:sz w:val="24"/>
                <w:highlight w:val="none"/>
                <w:lang w:val="en-US" w:eastAsia="zh-CN"/>
              </w:rPr>
              <w:t>在合约签订2个月内完成服务对象的社区康复意愿排查</w:t>
            </w:r>
          </w:p>
        </w:tc>
      </w:tr>
      <w:tr w14:paraId="7B16F7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3" w:hRule="atLeast"/>
          <w:jc w:val="center"/>
        </w:trPr>
        <w:tc>
          <w:tcPr>
            <w:tcW w:w="901" w:type="dxa"/>
            <w:noWrap w:val="0"/>
            <w:vAlign w:val="center"/>
          </w:tcPr>
          <w:p w14:paraId="7C11ABF6">
            <w:pPr>
              <w:jc w:val="center"/>
              <w:rPr>
                <w:rFonts w:hint="default" w:eastAsia="仿宋" w:cs="Times New Roman"/>
                <w:sz w:val="24"/>
                <w:highlight w:val="none"/>
                <w:lang w:val="en-US" w:eastAsia="zh-CN"/>
              </w:rPr>
            </w:pPr>
            <w:r>
              <w:rPr>
                <w:rFonts w:hint="eastAsia" w:eastAsia="仿宋" w:cs="Times New Roman"/>
                <w:sz w:val="24"/>
                <w:highlight w:val="none"/>
                <w:lang w:val="en-US" w:eastAsia="zh-CN"/>
              </w:rPr>
              <w:t>8</w:t>
            </w:r>
          </w:p>
        </w:tc>
        <w:tc>
          <w:tcPr>
            <w:tcW w:w="1410" w:type="dxa"/>
            <w:noWrap w:val="0"/>
            <w:vAlign w:val="center"/>
          </w:tcPr>
          <w:p w14:paraId="7D66342E">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上级规定的其他相关要求</w:t>
            </w:r>
          </w:p>
        </w:tc>
        <w:tc>
          <w:tcPr>
            <w:tcW w:w="3531" w:type="dxa"/>
            <w:noWrap w:val="0"/>
            <w:vAlign w:val="center"/>
          </w:tcPr>
          <w:p w14:paraId="1674EFEE">
            <w:pPr>
              <w:jc w:val="left"/>
              <w:rPr>
                <w:rFonts w:hint="default" w:eastAsia="仿宋" w:cs="Times New Roman"/>
                <w:sz w:val="24"/>
                <w:highlight w:val="none"/>
                <w:lang w:val="en-US" w:eastAsia="zh-CN"/>
              </w:rPr>
            </w:pPr>
            <w:r>
              <w:rPr>
                <w:rFonts w:hint="eastAsia" w:eastAsia="仿宋" w:cs="Times New Roman"/>
                <w:sz w:val="24"/>
                <w:highlight w:val="none"/>
                <w:lang w:val="en-US" w:eastAsia="zh-CN"/>
              </w:rPr>
              <w:t>按照上级文件要求执行。</w:t>
            </w:r>
          </w:p>
        </w:tc>
        <w:tc>
          <w:tcPr>
            <w:tcW w:w="2782" w:type="dxa"/>
            <w:tcBorders>
              <w:right w:val="single" w:color="auto" w:sz="4" w:space="0"/>
            </w:tcBorders>
            <w:noWrap w:val="0"/>
            <w:vAlign w:val="center"/>
          </w:tcPr>
          <w:p w14:paraId="40412D8E">
            <w:pPr>
              <w:jc w:val="center"/>
              <w:rPr>
                <w:rFonts w:hint="default" w:ascii="Times New Roman" w:hAnsi="Times New Roman" w:eastAsia="仿宋" w:cs="Times New Roman"/>
                <w:sz w:val="24"/>
                <w:highlight w:val="none"/>
                <w:lang w:val="en-US" w:eastAsia="zh-CN"/>
              </w:rPr>
            </w:pPr>
          </w:p>
        </w:tc>
      </w:tr>
    </w:tbl>
    <w:p w14:paraId="31A0796E">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黑体" w:cs="Times New Roman"/>
          <w:sz w:val="32"/>
          <w:highlight w:val="none"/>
          <w:lang w:val="en-US" w:eastAsia="zh-CN"/>
        </w:rPr>
      </w:pPr>
      <w:r>
        <w:rPr>
          <w:rFonts w:hint="default" w:ascii="Times New Roman" w:hAnsi="Times New Roman" w:eastAsia="黑体" w:cs="Times New Roman"/>
          <w:sz w:val="32"/>
          <w:highlight w:val="none"/>
        </w:rPr>
        <w:t>九、项目团队</w:t>
      </w:r>
      <w:r>
        <w:rPr>
          <w:rFonts w:hint="default" w:ascii="Times New Roman" w:hAnsi="Times New Roman" w:eastAsia="黑体" w:cs="Times New Roman"/>
          <w:sz w:val="32"/>
          <w:highlight w:val="none"/>
          <w:lang w:val="en-US" w:eastAsia="zh-CN"/>
        </w:rPr>
        <w:t>资质要求</w:t>
      </w:r>
    </w:p>
    <w:p w14:paraId="6431365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0"/>
          <w:sz w:val="32"/>
          <w:szCs w:val="32"/>
          <w:highlight w:val="none"/>
          <w:lang w:bidi="ar"/>
        </w:rPr>
      </w:pPr>
      <w:r>
        <w:rPr>
          <w:rFonts w:hint="eastAsia" w:ascii="仿宋_GB2312" w:hAnsi="仿宋_GB2312" w:eastAsia="仿宋_GB2312" w:cs="仿宋_GB2312"/>
          <w:kern w:val="0"/>
          <w:sz w:val="32"/>
          <w:szCs w:val="32"/>
          <w:highlight w:val="none"/>
          <w:lang w:bidi="ar"/>
        </w:rPr>
        <w:t>参</w:t>
      </w:r>
      <w:r>
        <w:rPr>
          <w:rFonts w:hint="eastAsia" w:ascii="仿宋_GB2312" w:hAnsi="仿宋_GB2312" w:eastAsia="仿宋_GB2312" w:cs="仿宋_GB2312"/>
          <w:kern w:val="0"/>
          <w:sz w:val="32"/>
          <w:szCs w:val="32"/>
          <w:highlight w:val="none"/>
          <w:lang w:val="en-US" w:eastAsia="zh-CN" w:bidi="ar"/>
        </w:rPr>
        <w:t>加遴选的</w:t>
      </w:r>
      <w:r>
        <w:rPr>
          <w:rFonts w:hint="eastAsia" w:ascii="仿宋_GB2312" w:hAnsi="仿宋_GB2312" w:eastAsia="仿宋_GB2312" w:cs="仿宋_GB2312"/>
          <w:kern w:val="0"/>
          <w:sz w:val="32"/>
          <w:szCs w:val="32"/>
          <w:highlight w:val="none"/>
          <w:lang w:bidi="ar"/>
        </w:rPr>
        <w:t>机构需配备一支熟悉社区精神康复服务</w:t>
      </w:r>
      <w:r>
        <w:rPr>
          <w:rFonts w:hint="eastAsia" w:ascii="仿宋_GB2312" w:hAnsi="仿宋_GB2312" w:eastAsia="仿宋_GB2312" w:cs="仿宋_GB2312"/>
          <w:kern w:val="0"/>
          <w:sz w:val="32"/>
          <w:szCs w:val="32"/>
          <w:highlight w:val="none"/>
          <w:lang w:val="en-US" w:eastAsia="zh-CN" w:bidi="ar"/>
        </w:rPr>
        <w:t>工作</w:t>
      </w:r>
      <w:r>
        <w:rPr>
          <w:rFonts w:hint="eastAsia" w:ascii="仿宋_GB2312" w:hAnsi="仿宋_GB2312" w:eastAsia="仿宋_GB2312" w:cs="仿宋_GB2312"/>
          <w:kern w:val="0"/>
          <w:sz w:val="32"/>
          <w:szCs w:val="32"/>
          <w:highlight w:val="none"/>
          <w:lang w:bidi="ar"/>
        </w:rPr>
        <w:t>的团队，其中，项目负责人不少于</w:t>
      </w:r>
      <w:r>
        <w:rPr>
          <w:rFonts w:hint="default" w:ascii="Times New Roman" w:hAnsi="Times New Roman" w:eastAsia="仿宋_GB2312" w:cs="Times New Roman"/>
          <w:bCs/>
          <w:sz w:val="32"/>
          <w:highlight w:val="none"/>
        </w:rPr>
        <w:t>1</w:t>
      </w:r>
      <w:r>
        <w:rPr>
          <w:rFonts w:hint="default" w:ascii="Times New Roman" w:hAnsi="Times New Roman" w:eastAsia="仿宋_GB2312" w:cs="Times New Roman"/>
          <w:kern w:val="0"/>
          <w:sz w:val="32"/>
          <w:szCs w:val="32"/>
          <w:highlight w:val="none"/>
          <w:lang w:bidi="ar"/>
        </w:rPr>
        <w:t>名（需持有中级社工师或二级心理咨询师职业资格证书），</w:t>
      </w:r>
      <w:r>
        <w:rPr>
          <w:rFonts w:hint="default" w:ascii="Times New Roman" w:hAnsi="Times New Roman" w:eastAsia="仿宋_GB2312" w:cs="Times New Roman"/>
          <w:kern w:val="0"/>
          <w:sz w:val="32"/>
          <w:szCs w:val="32"/>
          <w:highlight w:val="none"/>
          <w:lang w:val="en-US" w:eastAsia="zh-CN" w:bidi="ar"/>
        </w:rPr>
        <w:t>其余专职人员不少于4名</w:t>
      </w:r>
      <w:r>
        <w:rPr>
          <w:rFonts w:hint="eastAsia" w:ascii="仿宋_GB2312" w:hAnsi="仿宋_GB2312" w:eastAsia="仿宋_GB2312" w:cs="仿宋_GB2312"/>
          <w:kern w:val="0"/>
          <w:sz w:val="32"/>
          <w:szCs w:val="32"/>
          <w:highlight w:val="none"/>
          <w:lang w:val="en-US" w:eastAsia="zh-CN" w:bidi="ar"/>
        </w:rPr>
        <w:t>，团队应配备有</w:t>
      </w:r>
      <w:r>
        <w:rPr>
          <w:rFonts w:hint="eastAsia" w:ascii="仿宋_GB2312" w:hAnsi="仿宋_GB2312" w:eastAsia="仿宋_GB2312" w:cs="仿宋_GB2312"/>
          <w:kern w:val="0"/>
          <w:sz w:val="32"/>
          <w:szCs w:val="32"/>
          <w:highlight w:val="none"/>
          <w:lang w:bidi="ar"/>
        </w:rPr>
        <w:t>社会工作者</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康复治疗师或心理治疗师、心理咨询师、精神专科医师</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公共卫生医师</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等专</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兼</w:t>
      </w:r>
      <w:r>
        <w:rPr>
          <w:rFonts w:hint="eastAsia" w:ascii="仿宋_GB2312" w:hAnsi="仿宋_GB2312" w:eastAsia="仿宋_GB2312" w:cs="仿宋_GB2312"/>
          <w:kern w:val="0"/>
          <w:sz w:val="32"/>
          <w:szCs w:val="32"/>
          <w:highlight w:val="none"/>
          <w:lang w:eastAsia="zh-CN" w:bidi="ar"/>
        </w:rPr>
        <w:t>）</w:t>
      </w:r>
      <w:r>
        <w:rPr>
          <w:rFonts w:hint="eastAsia" w:ascii="仿宋_GB2312" w:hAnsi="仿宋_GB2312" w:eastAsia="仿宋_GB2312" w:cs="仿宋_GB2312"/>
          <w:kern w:val="0"/>
          <w:sz w:val="32"/>
          <w:szCs w:val="32"/>
          <w:highlight w:val="none"/>
          <w:lang w:bidi="ar"/>
        </w:rPr>
        <w:t>职工作人员。</w:t>
      </w:r>
      <w:r>
        <w:rPr>
          <w:rFonts w:hint="eastAsia" w:ascii="仿宋_GB2312" w:hAnsi="仿宋_GB2312" w:eastAsia="仿宋_GB2312" w:cs="仿宋_GB2312"/>
          <w:i w:val="0"/>
          <w:iCs w:val="0"/>
          <w:caps w:val="0"/>
          <w:color w:val="000000"/>
          <w:spacing w:val="0"/>
          <w:sz w:val="32"/>
          <w:szCs w:val="32"/>
          <w:highlight w:val="none"/>
          <w:shd w:val="clear" w:fill="FFFFFF"/>
        </w:rPr>
        <w:t>机构在开展项目服务的过程中，配置的人员如有变动，更换的人员必须具有同等的资质，并报</w:t>
      </w:r>
      <w:r>
        <w:rPr>
          <w:rFonts w:hint="eastAsia" w:ascii="仿宋_GB2312" w:hAnsi="仿宋_GB2312" w:eastAsia="仿宋_GB2312" w:cs="仿宋_GB2312"/>
          <w:i w:val="0"/>
          <w:iCs w:val="0"/>
          <w:caps w:val="0"/>
          <w:color w:val="000000"/>
          <w:spacing w:val="0"/>
          <w:sz w:val="32"/>
          <w:szCs w:val="32"/>
          <w:highlight w:val="none"/>
          <w:shd w:val="clear" w:fill="FFFFFF"/>
          <w:lang w:val="en-US" w:eastAsia="zh-CN"/>
        </w:rPr>
        <w:t>越秀</w:t>
      </w:r>
      <w:r>
        <w:rPr>
          <w:rFonts w:hint="eastAsia" w:ascii="仿宋_GB2312" w:hAnsi="仿宋_GB2312" w:eastAsia="仿宋_GB2312" w:cs="仿宋_GB2312"/>
          <w:i w:val="0"/>
          <w:iCs w:val="0"/>
          <w:caps w:val="0"/>
          <w:color w:val="000000"/>
          <w:spacing w:val="0"/>
          <w:sz w:val="32"/>
          <w:szCs w:val="32"/>
          <w:highlight w:val="none"/>
          <w:shd w:val="clear" w:fill="FFFFFF"/>
        </w:rPr>
        <w:t>区民政局备案。</w:t>
      </w:r>
    </w:p>
    <w:p w14:paraId="5E6B4924">
      <w:pPr>
        <w:pStyle w:val="14"/>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黑体" w:cs="Times New Roman"/>
          <w:sz w:val="32"/>
          <w:highlight w:val="none"/>
        </w:rPr>
      </w:pPr>
      <w:r>
        <w:rPr>
          <w:rFonts w:hint="default" w:ascii="Times New Roman" w:hAnsi="Times New Roman" w:eastAsia="黑体" w:cs="Times New Roman"/>
          <w:bCs/>
          <w:sz w:val="32"/>
          <w:highlight w:val="none"/>
        </w:rPr>
        <w:t>十、承接服务机构要求</w:t>
      </w:r>
    </w:p>
    <w:p w14:paraId="21A88FF2">
      <w:pPr>
        <w:pStyle w:val="14"/>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kern w:val="2"/>
          <w:sz w:val="32"/>
          <w:highlight w:val="none"/>
        </w:rPr>
      </w:pPr>
      <w:r>
        <w:rPr>
          <w:rFonts w:hint="default" w:ascii="Times New Roman" w:hAnsi="Times New Roman" w:eastAsia="仿宋_GB2312" w:cs="Times New Roman"/>
          <w:sz w:val="32"/>
          <w:highlight w:val="none"/>
        </w:rPr>
        <w:t>1.</w:t>
      </w:r>
      <w:r>
        <w:rPr>
          <w:rFonts w:hint="default" w:ascii="Times New Roman" w:hAnsi="Times New Roman" w:eastAsia="仿宋_GB2312" w:cs="Times New Roman"/>
          <w:color w:val="000000"/>
          <w:sz w:val="32"/>
          <w:highlight w:val="none"/>
        </w:rPr>
        <w:t>依法设立，</w:t>
      </w:r>
      <w:r>
        <w:rPr>
          <w:rFonts w:hint="default" w:ascii="Times New Roman" w:hAnsi="Times New Roman" w:eastAsia="仿宋_GB2312" w:cs="Times New Roman"/>
          <w:kern w:val="2"/>
          <w:sz w:val="32"/>
          <w:highlight w:val="none"/>
        </w:rPr>
        <w:t>具有独立承担民事责任的能力，</w:t>
      </w:r>
      <w:r>
        <w:rPr>
          <w:rFonts w:hint="default" w:ascii="Times New Roman" w:hAnsi="Times New Roman" w:eastAsia="仿宋_GB2312" w:cs="Times New Roman"/>
          <w:sz w:val="32"/>
          <w:highlight w:val="none"/>
        </w:rPr>
        <w:t>接受政府部门的监督管理，按照政府部门的要求开展相关工作</w:t>
      </w:r>
      <w:r>
        <w:rPr>
          <w:rFonts w:hint="default" w:ascii="Times New Roman" w:hAnsi="Times New Roman" w:eastAsia="仿宋_GB2312" w:cs="Times New Roman"/>
          <w:kern w:val="2"/>
          <w:sz w:val="32"/>
          <w:highlight w:val="none"/>
        </w:rPr>
        <w:t>。</w:t>
      </w:r>
    </w:p>
    <w:p w14:paraId="294A6D3A">
      <w:pPr>
        <w:pStyle w:val="14"/>
        <w:keepNext w:val="0"/>
        <w:keepLines w:val="0"/>
        <w:pageBreakBefore w:val="0"/>
        <w:kinsoku/>
        <w:wordWrap/>
        <w:overflowPunct/>
        <w:topLinePunct w:val="0"/>
        <w:bidi w:val="0"/>
        <w:adjustRightInd/>
        <w:snapToGrid/>
        <w:spacing w:line="560" w:lineRule="exact"/>
        <w:ind w:firstLine="64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2.按照合同等约定履行提供服务的义务，认真组织实施项目，按时完成项目任务，保证服务数量、质量和效果，主动接受有关部门、服务对象及社会监督，严禁承接服务机构将服务项目交由其他服务供应机构实际承担的转包行为。</w:t>
      </w:r>
    </w:p>
    <w:p w14:paraId="3F24CAF3">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highlight w:val="none"/>
        </w:rPr>
        <w:t>3.能有效管理评估全程的相关文件和档案，真实完整记录评估信息</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承接机构需签订保密协议，承诺</w:t>
      </w:r>
      <w:r>
        <w:rPr>
          <w:rFonts w:hint="default" w:ascii="Times New Roman" w:hAnsi="Times New Roman" w:eastAsia="仿宋_GB2312" w:cs="Times New Roman"/>
          <w:sz w:val="32"/>
          <w:highlight w:val="none"/>
        </w:rPr>
        <w:t>不利用本项目的保密信息数据为其他单位（包括自办单位）或项目服务。</w:t>
      </w:r>
    </w:p>
    <w:p w14:paraId="2A460E80">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Cs/>
          <w:sz w:val="32"/>
          <w:highlight w:val="none"/>
        </w:rPr>
        <w:t>4.具有合理、详细的项目经费使用计划和预算明细，</w:t>
      </w:r>
      <w:r>
        <w:rPr>
          <w:rFonts w:hint="default" w:ascii="Times New Roman" w:hAnsi="Times New Roman" w:eastAsia="仿宋_GB2312" w:cs="Times New Roman"/>
          <w:kern w:val="24"/>
          <w:sz w:val="32"/>
          <w:szCs w:val="32"/>
          <w:highlight w:val="none"/>
        </w:rPr>
        <w:t>严格遵守相关财政财务规定，</w:t>
      </w:r>
      <w:r>
        <w:rPr>
          <w:rFonts w:hint="default" w:ascii="Times New Roman" w:hAnsi="Times New Roman" w:eastAsia="仿宋_GB2312" w:cs="Times New Roman"/>
          <w:kern w:val="24"/>
          <w:sz w:val="32"/>
          <w:szCs w:val="32"/>
          <w:highlight w:val="none"/>
          <w:lang w:val="en-US" w:eastAsia="zh-CN"/>
        </w:rPr>
        <w:t>实行专款专用，</w:t>
      </w:r>
      <w:r>
        <w:rPr>
          <w:rFonts w:hint="default" w:ascii="Times New Roman" w:hAnsi="Times New Roman" w:eastAsia="仿宋_GB2312" w:cs="Times New Roman"/>
          <w:kern w:val="24"/>
          <w:sz w:val="32"/>
          <w:szCs w:val="32"/>
          <w:highlight w:val="none"/>
        </w:rPr>
        <w:t>加强自身监督，确保政府购买服务项目资金规范管理和使用，并按要求及时向</w:t>
      </w:r>
      <w:r>
        <w:rPr>
          <w:rFonts w:hint="default" w:ascii="Times New Roman" w:hAnsi="Times New Roman" w:eastAsia="仿宋_GB2312" w:cs="Times New Roman"/>
          <w:kern w:val="24"/>
          <w:sz w:val="32"/>
          <w:szCs w:val="32"/>
          <w:highlight w:val="none"/>
          <w:lang w:val="en-US" w:eastAsia="zh-CN"/>
        </w:rPr>
        <w:t>越秀区民政局</w:t>
      </w:r>
      <w:r>
        <w:rPr>
          <w:rFonts w:hint="default" w:ascii="Times New Roman" w:hAnsi="Times New Roman" w:eastAsia="仿宋_GB2312" w:cs="Times New Roman"/>
          <w:kern w:val="24"/>
          <w:sz w:val="32"/>
          <w:szCs w:val="32"/>
          <w:highlight w:val="none"/>
        </w:rPr>
        <w:t>提供资金的使用情况、项目执行情况、成果总结等材料</w:t>
      </w:r>
      <w:r>
        <w:rPr>
          <w:rFonts w:hint="default" w:ascii="Times New Roman" w:hAnsi="Times New Roman" w:eastAsia="仿宋_GB2312" w:cs="Times New Roman"/>
          <w:bCs/>
          <w:sz w:val="32"/>
          <w:highlight w:val="none"/>
        </w:rPr>
        <w:t>。</w:t>
      </w:r>
    </w:p>
    <w:p w14:paraId="6A851C79">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5.建立服务风险防范制度，为工作人员购买人身意外保险。</w:t>
      </w:r>
    </w:p>
    <w:p w14:paraId="45EA284D">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6.建立完善的规章制度和工作流程，包括财务、人事、运营、资产、服务等方面的管理制度和应急措施。</w:t>
      </w:r>
    </w:p>
    <w:p w14:paraId="64B7A6B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i w:val="0"/>
          <w:iCs w:val="0"/>
          <w:caps w:val="0"/>
          <w:color w:val="000000"/>
          <w:spacing w:val="0"/>
          <w:sz w:val="32"/>
          <w:szCs w:val="32"/>
          <w:highlight w:val="none"/>
          <w:shd w:val="clear" w:fill="FFFFFF"/>
        </w:rPr>
        <w:t>本次项目不提供活动和办公场地，承接机构开展康复服务活动所需的场地应充分利用相关部门场地资源。</w:t>
      </w:r>
    </w:p>
    <w:p w14:paraId="58C5772E">
      <w:pPr>
        <w:keepNext w:val="0"/>
        <w:keepLines w:val="0"/>
        <w:pageBreakBefore w:val="0"/>
        <w:kinsoku/>
        <w:wordWrap/>
        <w:overflowPunct/>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highlight w:val="none"/>
          <w:lang w:val="en-US" w:eastAsia="zh-CN"/>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highlight w:val="none"/>
        </w:rPr>
        <w:t>承接服务机构应具备</w:t>
      </w:r>
      <w:r>
        <w:rPr>
          <w:rFonts w:hint="default" w:ascii="Times New Roman" w:hAnsi="Times New Roman" w:eastAsia="仿宋_GB2312" w:cs="Times New Roman"/>
          <w:sz w:val="32"/>
          <w:highlight w:val="none"/>
          <w:lang w:val="en-US" w:eastAsia="zh-CN"/>
        </w:rPr>
        <w:t>以下</w:t>
      </w:r>
      <w:r>
        <w:rPr>
          <w:rFonts w:hint="default" w:ascii="Times New Roman" w:hAnsi="Times New Roman" w:eastAsia="仿宋_GB2312" w:cs="Times New Roman"/>
          <w:sz w:val="32"/>
          <w:highlight w:val="none"/>
        </w:rPr>
        <w:t>基本条件</w:t>
      </w:r>
      <w:r>
        <w:rPr>
          <w:rFonts w:hint="default" w:ascii="Times New Roman" w:hAnsi="Times New Roman" w:eastAsia="仿宋_GB2312" w:cs="Times New Roman"/>
          <w:sz w:val="32"/>
          <w:highlight w:val="none"/>
          <w:lang w:eastAsia="zh-CN"/>
        </w:rPr>
        <w:t>，</w:t>
      </w:r>
      <w:r>
        <w:rPr>
          <w:rFonts w:hint="default" w:ascii="Times New Roman" w:hAnsi="Times New Roman" w:eastAsia="仿宋_GB2312" w:cs="Times New Roman"/>
          <w:sz w:val="32"/>
          <w:highlight w:val="none"/>
          <w:lang w:val="en-US" w:eastAsia="zh-CN"/>
        </w:rPr>
        <w:t>并提供相关证明材料（详见下表）：</w:t>
      </w:r>
    </w:p>
    <w:tbl>
      <w:tblPr>
        <w:tblStyle w:val="8"/>
        <w:tblpPr w:leftFromText="180" w:rightFromText="180" w:vertAnchor="text" w:horzAnchor="page" w:tblpX="1801" w:tblpY="158"/>
        <w:tblOverlap w:val="never"/>
        <w:tblW w:w="8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6"/>
        <w:gridCol w:w="4536"/>
        <w:gridCol w:w="1276"/>
      </w:tblGrid>
      <w:tr w14:paraId="73EC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09" w:type="dxa"/>
            <w:noWrap w:val="0"/>
            <w:vAlign w:val="center"/>
          </w:tcPr>
          <w:p w14:paraId="388E0972">
            <w:pPr>
              <w:spacing w:line="360" w:lineRule="exact"/>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序号</w:t>
            </w:r>
          </w:p>
        </w:tc>
        <w:tc>
          <w:tcPr>
            <w:tcW w:w="2126" w:type="dxa"/>
            <w:noWrap w:val="0"/>
            <w:vAlign w:val="center"/>
          </w:tcPr>
          <w:p w14:paraId="511089F2">
            <w:pPr>
              <w:spacing w:line="36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服务供应商基本条件条款</w:t>
            </w:r>
          </w:p>
        </w:tc>
        <w:tc>
          <w:tcPr>
            <w:tcW w:w="4536" w:type="dxa"/>
            <w:noWrap w:val="0"/>
            <w:vAlign w:val="center"/>
          </w:tcPr>
          <w:p w14:paraId="17AF8C33">
            <w:pPr>
              <w:spacing w:line="36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提交的证明资料</w:t>
            </w:r>
          </w:p>
        </w:tc>
        <w:tc>
          <w:tcPr>
            <w:tcW w:w="1276" w:type="dxa"/>
            <w:noWrap w:val="0"/>
            <w:vAlign w:val="center"/>
          </w:tcPr>
          <w:p w14:paraId="41615E94">
            <w:pPr>
              <w:spacing w:line="360" w:lineRule="exact"/>
              <w:jc w:val="cente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备注</w:t>
            </w:r>
          </w:p>
        </w:tc>
      </w:tr>
      <w:tr w14:paraId="7C8C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709" w:type="dxa"/>
            <w:noWrap w:val="0"/>
            <w:vAlign w:val="center"/>
          </w:tcPr>
          <w:p w14:paraId="296EA47E">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w:t>
            </w:r>
          </w:p>
        </w:tc>
        <w:tc>
          <w:tcPr>
            <w:tcW w:w="2126" w:type="dxa"/>
            <w:noWrap w:val="0"/>
            <w:vAlign w:val="center"/>
          </w:tcPr>
          <w:p w14:paraId="654B2075">
            <w:pPr>
              <w:spacing w:line="36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依法设立，具有独立承担民事责任的能力</w:t>
            </w:r>
          </w:p>
        </w:tc>
        <w:tc>
          <w:tcPr>
            <w:tcW w:w="4536" w:type="dxa"/>
            <w:noWrap w:val="0"/>
            <w:vAlign w:val="center"/>
          </w:tcPr>
          <w:p w14:paraId="139616D0">
            <w:pPr>
              <w:spacing w:line="36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提交法人登记证书复印件、法定代表人的身份证复印件或自然人身份证复印件或其他主体有效身份证件</w:t>
            </w:r>
          </w:p>
        </w:tc>
        <w:tc>
          <w:tcPr>
            <w:tcW w:w="1276" w:type="dxa"/>
            <w:noWrap w:val="0"/>
            <w:vAlign w:val="center"/>
          </w:tcPr>
          <w:p w14:paraId="66D74061">
            <w:pPr>
              <w:spacing w:line="360" w:lineRule="exact"/>
              <w:rPr>
                <w:rFonts w:hint="default" w:ascii="Times New Roman" w:hAnsi="Times New Roman" w:eastAsia="仿宋_GB2312" w:cs="Times New Roman"/>
                <w:sz w:val="24"/>
                <w:highlight w:val="none"/>
              </w:rPr>
            </w:pPr>
          </w:p>
        </w:tc>
      </w:tr>
      <w:tr w14:paraId="43F7D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14:paraId="674F30EB">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w:t>
            </w:r>
          </w:p>
        </w:tc>
        <w:tc>
          <w:tcPr>
            <w:tcW w:w="2126" w:type="dxa"/>
            <w:noWrap w:val="0"/>
            <w:vAlign w:val="center"/>
          </w:tcPr>
          <w:p w14:paraId="7456BD8A">
            <w:pPr>
              <w:spacing w:line="360" w:lineRule="exact"/>
              <w:jc w:val="lef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机构组织架构</w:t>
            </w:r>
            <w:r>
              <w:rPr>
                <w:rFonts w:hint="default" w:ascii="Times New Roman" w:hAnsi="Times New Roman" w:eastAsia="仿宋_GB2312" w:cs="Times New Roman"/>
                <w:sz w:val="24"/>
                <w:highlight w:val="none"/>
              </w:rPr>
              <w:t>健全，内部管理和监督制度完善</w:t>
            </w:r>
          </w:p>
        </w:tc>
        <w:tc>
          <w:tcPr>
            <w:tcW w:w="4536" w:type="dxa"/>
            <w:noWrap w:val="0"/>
            <w:vAlign w:val="center"/>
          </w:tcPr>
          <w:p w14:paraId="4F2A3FA9">
            <w:pPr>
              <w:spacing w:line="36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提供</w:t>
            </w:r>
            <w:r>
              <w:rPr>
                <w:rFonts w:hint="default" w:ascii="Times New Roman" w:hAnsi="Times New Roman" w:eastAsia="仿宋_GB2312" w:cs="Times New Roman"/>
                <w:sz w:val="24"/>
                <w:highlight w:val="none"/>
                <w:lang w:val="en-US" w:eastAsia="zh-CN"/>
              </w:rPr>
              <w:t>组织架构</w:t>
            </w:r>
            <w:r>
              <w:rPr>
                <w:rFonts w:hint="default" w:ascii="Times New Roman" w:hAnsi="Times New Roman" w:eastAsia="仿宋_GB2312" w:cs="Times New Roman"/>
                <w:sz w:val="24"/>
                <w:highlight w:val="none"/>
              </w:rPr>
              <w:t>和内部管理监督制度等相关佐证材料</w:t>
            </w:r>
          </w:p>
        </w:tc>
        <w:tc>
          <w:tcPr>
            <w:tcW w:w="1276" w:type="dxa"/>
            <w:noWrap w:val="0"/>
            <w:vAlign w:val="center"/>
          </w:tcPr>
          <w:p w14:paraId="4394B76C">
            <w:pPr>
              <w:spacing w:line="360" w:lineRule="exact"/>
              <w:jc w:val="center"/>
              <w:rPr>
                <w:rFonts w:hint="default" w:ascii="Times New Roman" w:hAnsi="Times New Roman" w:eastAsia="仿宋_GB2312" w:cs="Times New Roman"/>
                <w:sz w:val="24"/>
                <w:highlight w:val="none"/>
              </w:rPr>
            </w:pPr>
          </w:p>
        </w:tc>
      </w:tr>
      <w:tr w14:paraId="53C3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709" w:type="dxa"/>
            <w:noWrap w:val="0"/>
            <w:vAlign w:val="center"/>
          </w:tcPr>
          <w:p w14:paraId="7223C1CD">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3</w:t>
            </w:r>
          </w:p>
        </w:tc>
        <w:tc>
          <w:tcPr>
            <w:tcW w:w="2126" w:type="dxa"/>
            <w:noWrap w:val="0"/>
            <w:vAlign w:val="center"/>
          </w:tcPr>
          <w:p w14:paraId="1C5417E8">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具有独立、健全的财务管理和资产管理制度，会计核算符合国家统一的会计制度要求</w:t>
            </w:r>
          </w:p>
        </w:tc>
        <w:tc>
          <w:tcPr>
            <w:tcW w:w="4536" w:type="dxa"/>
            <w:noWrap w:val="0"/>
            <w:vAlign w:val="center"/>
          </w:tcPr>
          <w:p w14:paraId="53F51174">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202</w:t>
            </w:r>
            <w:r>
              <w:rPr>
                <w:rFonts w:hint="eastAsia" w:eastAsia="仿宋_GB2312" w:cs="Times New Roman"/>
                <w:sz w:val="24"/>
                <w:highlight w:val="none"/>
                <w:lang w:val="en-US" w:eastAsia="zh-CN"/>
              </w:rPr>
              <w:t>4</w:t>
            </w:r>
            <w:r>
              <w:rPr>
                <w:rFonts w:hint="default" w:ascii="Times New Roman" w:hAnsi="Times New Roman" w:eastAsia="仿宋_GB2312" w:cs="Times New Roman"/>
                <w:sz w:val="24"/>
                <w:highlight w:val="none"/>
              </w:rPr>
              <w:t>年第三方审计的财务报告（四表一注）、财务报表</w:t>
            </w:r>
          </w:p>
        </w:tc>
        <w:tc>
          <w:tcPr>
            <w:tcW w:w="1276" w:type="dxa"/>
            <w:noWrap w:val="0"/>
            <w:vAlign w:val="center"/>
          </w:tcPr>
          <w:p w14:paraId="5EB3283C">
            <w:pPr>
              <w:spacing w:line="32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新注册机构提供前3个月财务报表</w:t>
            </w:r>
          </w:p>
        </w:tc>
      </w:tr>
      <w:tr w14:paraId="2723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709" w:type="dxa"/>
            <w:noWrap w:val="0"/>
            <w:vAlign w:val="center"/>
          </w:tcPr>
          <w:p w14:paraId="04BE77B4">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4</w:t>
            </w:r>
          </w:p>
        </w:tc>
        <w:tc>
          <w:tcPr>
            <w:tcW w:w="2126" w:type="dxa"/>
            <w:noWrap w:val="0"/>
            <w:vAlign w:val="center"/>
          </w:tcPr>
          <w:p w14:paraId="779B3C24">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具备提供服务所必需的设施、人员和专业技术能力</w:t>
            </w:r>
          </w:p>
        </w:tc>
        <w:tc>
          <w:tcPr>
            <w:tcW w:w="4536" w:type="dxa"/>
            <w:noWrap w:val="0"/>
            <w:vAlign w:val="center"/>
          </w:tcPr>
          <w:p w14:paraId="4D87989D">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提供服务所必需设施设备承诺函、资质证书、合同协议等相关佐证材料</w:t>
            </w:r>
          </w:p>
        </w:tc>
        <w:tc>
          <w:tcPr>
            <w:tcW w:w="1276" w:type="dxa"/>
            <w:noWrap w:val="0"/>
            <w:vAlign w:val="center"/>
          </w:tcPr>
          <w:p w14:paraId="096C7B92">
            <w:pPr>
              <w:spacing w:line="320" w:lineRule="exact"/>
              <w:jc w:val="center"/>
              <w:rPr>
                <w:rFonts w:hint="default" w:ascii="Times New Roman" w:hAnsi="Times New Roman" w:eastAsia="仿宋_GB2312" w:cs="Times New Roman"/>
                <w:sz w:val="24"/>
                <w:highlight w:val="none"/>
              </w:rPr>
            </w:pPr>
          </w:p>
        </w:tc>
      </w:tr>
      <w:tr w14:paraId="3AD5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709" w:type="dxa"/>
            <w:noWrap w:val="0"/>
            <w:vAlign w:val="center"/>
          </w:tcPr>
          <w:p w14:paraId="33DD91B5">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5</w:t>
            </w:r>
          </w:p>
        </w:tc>
        <w:tc>
          <w:tcPr>
            <w:tcW w:w="2126" w:type="dxa"/>
            <w:noWrap w:val="0"/>
            <w:vAlign w:val="center"/>
          </w:tcPr>
          <w:p w14:paraId="65BB09A5">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上一年度在依法缴纳税收和社会保障资金、按要求履行信息公示义务方面无不良记录</w:t>
            </w:r>
          </w:p>
        </w:tc>
        <w:tc>
          <w:tcPr>
            <w:tcW w:w="4536" w:type="dxa"/>
            <w:noWrap w:val="0"/>
            <w:vAlign w:val="center"/>
          </w:tcPr>
          <w:p w14:paraId="0D17B886">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提供</w:t>
            </w:r>
            <w:r>
              <w:rPr>
                <w:rFonts w:hint="default" w:ascii="Times New Roman" w:hAnsi="Times New Roman" w:eastAsia="仿宋_GB2312" w:cs="Times New Roman"/>
                <w:sz w:val="24"/>
                <w:highlight w:val="none"/>
              </w:rPr>
              <w:t>202</w:t>
            </w:r>
            <w:r>
              <w:rPr>
                <w:rFonts w:hint="eastAsia" w:eastAsia="仿宋_GB2312" w:cs="Times New Roman"/>
                <w:sz w:val="24"/>
                <w:highlight w:val="none"/>
                <w:lang w:val="en-US" w:eastAsia="zh-CN"/>
              </w:rPr>
              <w:t>4</w:t>
            </w:r>
            <w:r>
              <w:rPr>
                <w:rFonts w:hint="default" w:ascii="Times New Roman" w:hAnsi="Times New Roman" w:eastAsia="仿宋_GB2312" w:cs="Times New Roman"/>
                <w:sz w:val="24"/>
                <w:highlight w:val="none"/>
              </w:rPr>
              <w:t>年1月—202</w:t>
            </w:r>
            <w:r>
              <w:rPr>
                <w:rFonts w:hint="eastAsia" w:eastAsia="仿宋_GB2312" w:cs="Times New Roman"/>
                <w:sz w:val="24"/>
                <w:highlight w:val="none"/>
                <w:lang w:val="en-US" w:eastAsia="zh-CN"/>
              </w:rPr>
              <w:t>4</w:t>
            </w:r>
            <w:r>
              <w:rPr>
                <w:rFonts w:hint="default" w:ascii="Times New Roman" w:hAnsi="Times New Roman" w:eastAsia="仿宋_GB2312" w:cs="Times New Roman"/>
                <w:sz w:val="24"/>
                <w:highlight w:val="none"/>
              </w:rPr>
              <w:t>年12月纳税证明（如依法免税，则须提供相应文件证明）</w:t>
            </w:r>
          </w:p>
        </w:tc>
        <w:tc>
          <w:tcPr>
            <w:tcW w:w="1276" w:type="dxa"/>
            <w:noWrap w:val="0"/>
            <w:vAlign w:val="center"/>
          </w:tcPr>
          <w:p w14:paraId="17CCCC86">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新注册机构提供社会保障登记证</w:t>
            </w:r>
          </w:p>
        </w:tc>
      </w:tr>
      <w:tr w14:paraId="740D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trPr>
        <w:tc>
          <w:tcPr>
            <w:tcW w:w="709" w:type="dxa"/>
            <w:noWrap w:val="0"/>
            <w:vAlign w:val="center"/>
          </w:tcPr>
          <w:p w14:paraId="6CD9D12C">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6</w:t>
            </w:r>
          </w:p>
        </w:tc>
        <w:tc>
          <w:tcPr>
            <w:tcW w:w="2126" w:type="dxa"/>
            <w:noWrap w:val="0"/>
            <w:vAlign w:val="center"/>
          </w:tcPr>
          <w:p w14:paraId="27766E57">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前三年内无重大违法记录，未被列入严重违法失信名单”</w:t>
            </w:r>
          </w:p>
        </w:tc>
        <w:tc>
          <w:tcPr>
            <w:tcW w:w="4536" w:type="dxa"/>
            <w:noWrap w:val="0"/>
            <w:vAlign w:val="center"/>
          </w:tcPr>
          <w:p w14:paraId="6D39C66E">
            <w:pPr>
              <w:spacing w:line="32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“信用中国”（www.creditchina.gov.cn）和中国政府采购网（www.ccgp.gov.cn）查询的信用记录，若暂无信息记录，投标人须提供“参加政府采购活动</w:t>
            </w:r>
            <w:r>
              <w:rPr>
                <w:rFonts w:hint="default" w:ascii="Times New Roman" w:hAnsi="Times New Roman" w:eastAsia="仿宋_GB2312" w:cs="Times New Roman"/>
                <w:sz w:val="24"/>
                <w:highlight w:val="none"/>
                <w:lang w:val="en-US" w:eastAsia="zh-CN"/>
              </w:rPr>
              <w:t>近三年</w:t>
            </w:r>
            <w:r>
              <w:rPr>
                <w:rFonts w:hint="default" w:ascii="Times New Roman" w:hAnsi="Times New Roman" w:eastAsia="仿宋_GB2312" w:cs="Times New Roman"/>
                <w:sz w:val="24"/>
                <w:highlight w:val="none"/>
              </w:rPr>
              <w:t>，在经营活动中没有重大违法记录”声明函原件</w:t>
            </w:r>
          </w:p>
        </w:tc>
        <w:tc>
          <w:tcPr>
            <w:tcW w:w="1276" w:type="dxa"/>
            <w:noWrap w:val="0"/>
            <w:vAlign w:val="center"/>
          </w:tcPr>
          <w:p w14:paraId="51CB238E">
            <w:pPr>
              <w:spacing w:line="320" w:lineRule="exact"/>
              <w:rPr>
                <w:rFonts w:hint="default" w:ascii="Times New Roman" w:hAnsi="Times New Roman" w:eastAsia="仿宋_GB2312" w:cs="Times New Roman"/>
                <w:sz w:val="24"/>
                <w:highlight w:val="none"/>
              </w:rPr>
            </w:pPr>
          </w:p>
        </w:tc>
      </w:tr>
      <w:tr w14:paraId="3190A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09" w:type="dxa"/>
            <w:noWrap w:val="0"/>
            <w:vAlign w:val="center"/>
          </w:tcPr>
          <w:p w14:paraId="07837976">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7</w:t>
            </w:r>
          </w:p>
        </w:tc>
        <w:tc>
          <w:tcPr>
            <w:tcW w:w="2126" w:type="dxa"/>
            <w:noWrap w:val="0"/>
            <w:vAlign w:val="center"/>
          </w:tcPr>
          <w:p w14:paraId="4613A272">
            <w:pPr>
              <w:spacing w:line="36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不允许联合体投标</w:t>
            </w:r>
          </w:p>
        </w:tc>
        <w:tc>
          <w:tcPr>
            <w:tcW w:w="4536" w:type="dxa"/>
            <w:noWrap w:val="0"/>
            <w:vAlign w:val="center"/>
          </w:tcPr>
          <w:p w14:paraId="16B6B87D">
            <w:pPr>
              <w:spacing w:line="360" w:lineRule="exact"/>
              <w:rPr>
                <w:rFonts w:hint="eastAsia"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无须提交证明资料</w:t>
            </w:r>
            <w:r>
              <w:rPr>
                <w:rFonts w:hint="eastAsia" w:ascii="Times New Roman" w:hAnsi="Times New Roman" w:eastAsia="仿宋_GB2312" w:cs="Times New Roman"/>
                <w:sz w:val="24"/>
                <w:highlight w:val="none"/>
                <w:lang w:eastAsia="zh-CN"/>
              </w:rPr>
              <w:t>（</w:t>
            </w:r>
            <w:r>
              <w:rPr>
                <w:rFonts w:hint="default" w:ascii="Times New Roman" w:hAnsi="Times New Roman" w:eastAsia="仿宋_GB2312" w:cs="Times New Roman"/>
                <w:sz w:val="24"/>
                <w:highlight w:val="none"/>
              </w:rPr>
              <w:t>机构负责人为同一人或者存在直接控股、管理关系的不同供应商，不得同时参加项目的遴选</w:t>
            </w:r>
            <w:r>
              <w:rPr>
                <w:rFonts w:hint="eastAsia" w:ascii="Times New Roman" w:hAnsi="Times New Roman" w:eastAsia="仿宋_GB2312" w:cs="Times New Roman"/>
                <w:sz w:val="24"/>
                <w:highlight w:val="none"/>
                <w:lang w:eastAsia="zh-CN"/>
              </w:rPr>
              <w:t>）</w:t>
            </w:r>
          </w:p>
        </w:tc>
        <w:tc>
          <w:tcPr>
            <w:tcW w:w="1276" w:type="dxa"/>
            <w:noWrap w:val="0"/>
            <w:vAlign w:val="center"/>
          </w:tcPr>
          <w:p w14:paraId="1AE4E805">
            <w:pPr>
              <w:spacing w:line="360" w:lineRule="exact"/>
              <w:jc w:val="center"/>
              <w:rPr>
                <w:rFonts w:hint="default" w:ascii="Times New Roman" w:hAnsi="Times New Roman" w:eastAsia="仿宋_GB2312" w:cs="Times New Roman"/>
                <w:sz w:val="24"/>
                <w:highlight w:val="none"/>
              </w:rPr>
            </w:pPr>
          </w:p>
        </w:tc>
      </w:tr>
      <w:tr w14:paraId="611B7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09" w:type="dxa"/>
            <w:noWrap w:val="0"/>
            <w:vAlign w:val="center"/>
          </w:tcPr>
          <w:p w14:paraId="54A9937A">
            <w:pPr>
              <w:spacing w:line="36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val="en-US" w:eastAsia="zh-CN"/>
              </w:rPr>
              <w:t>8</w:t>
            </w:r>
          </w:p>
        </w:tc>
        <w:tc>
          <w:tcPr>
            <w:tcW w:w="2126" w:type="dxa"/>
            <w:noWrap w:val="0"/>
            <w:vAlign w:val="center"/>
          </w:tcPr>
          <w:p w14:paraId="50F64E93">
            <w:pPr>
              <w:spacing w:line="36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项目服务方案</w:t>
            </w:r>
          </w:p>
        </w:tc>
        <w:tc>
          <w:tcPr>
            <w:tcW w:w="4536" w:type="dxa"/>
            <w:noWrap w:val="0"/>
            <w:vAlign w:val="center"/>
          </w:tcPr>
          <w:p w14:paraId="58E6420C">
            <w:pPr>
              <w:spacing w:line="360" w:lineRule="exact"/>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rPr>
              <w:t>包含但不限于需求调研、服务目标、服务方案、服务预期成效等内容</w:t>
            </w:r>
          </w:p>
        </w:tc>
        <w:tc>
          <w:tcPr>
            <w:tcW w:w="1276" w:type="dxa"/>
            <w:noWrap w:val="0"/>
            <w:vAlign w:val="center"/>
          </w:tcPr>
          <w:p w14:paraId="33076819">
            <w:pPr>
              <w:spacing w:line="360" w:lineRule="exact"/>
              <w:jc w:val="center"/>
              <w:rPr>
                <w:rFonts w:hint="default" w:ascii="Times New Roman" w:hAnsi="Times New Roman" w:eastAsia="仿宋_GB2312" w:cs="Times New Roman"/>
                <w:sz w:val="24"/>
                <w:highlight w:val="none"/>
              </w:rPr>
            </w:pPr>
          </w:p>
        </w:tc>
      </w:tr>
      <w:tr w14:paraId="1B10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09" w:type="dxa"/>
            <w:noWrap w:val="0"/>
            <w:vAlign w:val="center"/>
          </w:tcPr>
          <w:p w14:paraId="17439430">
            <w:pPr>
              <w:spacing w:line="360" w:lineRule="exact"/>
              <w:jc w:val="center"/>
              <w:rPr>
                <w:rFonts w:hint="default" w:ascii="Times New Roman" w:hAnsi="Times New Roman" w:eastAsia="仿宋_GB2312" w:cs="Times New Roman"/>
                <w:sz w:val="24"/>
                <w:highlight w:val="none"/>
                <w:lang w:val="en-US" w:eastAsia="zh-CN"/>
              </w:rPr>
            </w:pPr>
            <w:r>
              <w:rPr>
                <w:rFonts w:hint="eastAsia" w:eastAsia="仿宋_GB2312" w:cs="Times New Roman"/>
                <w:sz w:val="24"/>
                <w:highlight w:val="none"/>
                <w:lang w:val="en-US" w:eastAsia="zh-CN"/>
              </w:rPr>
              <w:t>9</w:t>
            </w:r>
          </w:p>
        </w:tc>
        <w:tc>
          <w:tcPr>
            <w:tcW w:w="2126" w:type="dxa"/>
            <w:noWrap w:val="0"/>
            <w:vAlign w:val="center"/>
          </w:tcPr>
          <w:p w14:paraId="355F8D3E">
            <w:pPr>
              <w:spacing w:line="360" w:lineRule="exact"/>
              <w:rPr>
                <w:rFonts w:hint="eastAsia" w:ascii="Times New Roman" w:hAnsi="Times New Roman" w:eastAsia="仿宋_GB2312" w:cs="Times New Roman"/>
                <w:sz w:val="24"/>
                <w:highlight w:val="none"/>
                <w:lang w:val="en-US" w:eastAsia="zh-CN"/>
              </w:rPr>
            </w:pPr>
            <w:r>
              <w:rPr>
                <w:rFonts w:hint="eastAsia" w:eastAsia="仿宋_GB2312" w:cs="Times New Roman"/>
                <w:sz w:val="24"/>
                <w:highlight w:val="none"/>
                <w:lang w:val="en-US" w:eastAsia="zh-CN"/>
              </w:rPr>
              <w:t>承诺书</w:t>
            </w:r>
          </w:p>
        </w:tc>
        <w:tc>
          <w:tcPr>
            <w:tcW w:w="4536" w:type="dxa"/>
            <w:noWrap w:val="0"/>
            <w:vAlign w:val="center"/>
          </w:tcPr>
          <w:p w14:paraId="13A1BDBD">
            <w:pPr>
              <w:spacing w:line="36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val="en-US" w:eastAsia="zh-CN"/>
              </w:rPr>
              <w:t>机构须承诺对全部申报材料的真实性负责,对申报资格和申报条件的符合性负责，如违反规定，愿承担相应的法律责任</w:t>
            </w:r>
          </w:p>
        </w:tc>
        <w:tc>
          <w:tcPr>
            <w:tcW w:w="1276" w:type="dxa"/>
            <w:noWrap w:val="0"/>
            <w:vAlign w:val="center"/>
          </w:tcPr>
          <w:p w14:paraId="25E7BDD9">
            <w:pPr>
              <w:spacing w:line="360" w:lineRule="exact"/>
              <w:jc w:val="center"/>
              <w:rPr>
                <w:rFonts w:hint="default" w:ascii="Times New Roman" w:hAnsi="Times New Roman" w:eastAsia="仿宋_GB2312" w:cs="Times New Roman"/>
                <w:sz w:val="24"/>
                <w:highlight w:val="none"/>
              </w:rPr>
            </w:pPr>
          </w:p>
        </w:tc>
      </w:tr>
    </w:tbl>
    <w:p w14:paraId="5ED2FB40">
      <w:pPr>
        <w:pStyle w:val="2"/>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备注：</w:t>
      </w:r>
      <w:r>
        <w:rPr>
          <w:rFonts w:hint="eastAsia" w:ascii="Times New Roman" w:hAnsi="Times New Roman" w:eastAsia="仿宋_GB2312" w:cs="Times New Roman"/>
          <w:sz w:val="28"/>
          <w:szCs w:val="28"/>
          <w:highlight w:val="none"/>
          <w:lang w:val="en-US" w:eastAsia="zh-CN"/>
        </w:rPr>
        <w:t>证明</w:t>
      </w:r>
      <w:r>
        <w:rPr>
          <w:rFonts w:hint="default" w:ascii="Times New Roman" w:hAnsi="Times New Roman" w:eastAsia="仿宋_GB2312" w:cs="Times New Roman"/>
          <w:sz w:val="28"/>
          <w:szCs w:val="28"/>
          <w:highlight w:val="none"/>
        </w:rPr>
        <w:t>材料应至少包含但不局限于以上内容，无相关证明材料者不得分。</w:t>
      </w:r>
    </w:p>
    <w:p w14:paraId="4A34AD27">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十一、评估考核</w:t>
      </w:r>
    </w:p>
    <w:p w14:paraId="6FB60FC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highlight w:val="none"/>
        </w:rPr>
      </w:pPr>
      <w:r>
        <w:rPr>
          <w:rFonts w:hint="default" w:ascii="Times New Roman" w:hAnsi="Times New Roman" w:eastAsia="仿宋_GB2312" w:cs="Times New Roman"/>
          <w:color w:val="000000"/>
          <w:sz w:val="32"/>
          <w:szCs w:val="32"/>
          <w:highlight w:val="none"/>
          <w:lang w:eastAsia="zh-CN"/>
        </w:rPr>
        <w:t>越秀</w:t>
      </w:r>
      <w:r>
        <w:rPr>
          <w:rFonts w:hint="default" w:ascii="Times New Roman" w:hAnsi="Times New Roman" w:eastAsia="仿宋_GB2312" w:cs="Times New Roman"/>
          <w:color w:val="000000"/>
          <w:sz w:val="32"/>
          <w:szCs w:val="32"/>
          <w:highlight w:val="none"/>
        </w:rPr>
        <w:t>区民政局按照《广东省民政厅 广东省卫生健康委 广东省残联转发民政部 国家卫生健康委 中国残联关于印发精神障碍社区康复服务工作规范的通知》（粤民函〔2021〕209号）《政府购买精神障碍患者社区康复服务试点工作评估标准》等相关规定</w:t>
      </w:r>
      <w:r>
        <w:rPr>
          <w:rFonts w:hint="default" w:ascii="Times New Roman" w:hAnsi="Times New Roman" w:eastAsia="仿宋_GB2312" w:cs="Times New Roman"/>
          <w:color w:val="000000"/>
          <w:sz w:val="32"/>
          <w:szCs w:val="32"/>
          <w:highlight w:val="none"/>
          <w:lang w:val="en-US" w:eastAsia="zh-CN"/>
        </w:rPr>
        <w:t>开展评估考核</w:t>
      </w:r>
      <w:r>
        <w:rPr>
          <w:rFonts w:hint="default" w:ascii="Times New Roman" w:hAnsi="Times New Roman" w:eastAsia="仿宋_GB2312" w:cs="Times New Roman"/>
          <w:color w:val="000000"/>
          <w:sz w:val="32"/>
          <w:szCs w:val="32"/>
          <w:highlight w:val="none"/>
        </w:rPr>
        <w:t>。</w:t>
      </w:r>
      <w:r>
        <w:rPr>
          <w:rFonts w:hint="default" w:ascii="Times New Roman" w:hAnsi="Times New Roman" w:eastAsia="仿宋_GB2312" w:cs="Times New Roman"/>
          <w:color w:val="000000"/>
          <w:sz w:val="32"/>
          <w:szCs w:val="32"/>
          <w:highlight w:val="none"/>
          <w:lang w:val="en-US" w:eastAsia="zh-CN"/>
        </w:rPr>
        <w:t>承接</w:t>
      </w:r>
      <w:r>
        <w:rPr>
          <w:rFonts w:hint="default" w:ascii="Times New Roman" w:hAnsi="Times New Roman" w:eastAsia="仿宋_GB2312" w:cs="Times New Roman"/>
          <w:color w:val="000000"/>
          <w:sz w:val="32"/>
          <w:szCs w:val="32"/>
          <w:highlight w:val="none"/>
        </w:rPr>
        <w:t>机构每季度向</w:t>
      </w:r>
      <w:r>
        <w:rPr>
          <w:rFonts w:hint="default" w:ascii="Times New Roman" w:hAnsi="Times New Roman" w:eastAsia="仿宋_GB2312" w:cs="Times New Roman"/>
          <w:color w:val="000000"/>
          <w:sz w:val="32"/>
          <w:szCs w:val="32"/>
          <w:highlight w:val="none"/>
          <w:lang w:eastAsia="zh-CN"/>
        </w:rPr>
        <w:t>越秀</w:t>
      </w:r>
      <w:r>
        <w:rPr>
          <w:rFonts w:hint="default" w:ascii="Times New Roman" w:hAnsi="Times New Roman" w:eastAsia="仿宋_GB2312" w:cs="Times New Roman"/>
          <w:color w:val="000000"/>
          <w:sz w:val="32"/>
          <w:szCs w:val="32"/>
          <w:highlight w:val="none"/>
        </w:rPr>
        <w:t>区民政局报告项目实施情况及经费使用情况。项目中期和末期，</w:t>
      </w:r>
      <w:r>
        <w:rPr>
          <w:rFonts w:hint="default" w:ascii="Times New Roman" w:hAnsi="Times New Roman" w:eastAsia="仿宋_GB2312" w:cs="Times New Roman"/>
          <w:color w:val="000000"/>
          <w:sz w:val="32"/>
          <w:szCs w:val="32"/>
          <w:highlight w:val="none"/>
          <w:lang w:eastAsia="zh-CN"/>
        </w:rPr>
        <w:t>越秀</w:t>
      </w:r>
      <w:r>
        <w:rPr>
          <w:rFonts w:hint="default" w:ascii="Times New Roman" w:hAnsi="Times New Roman" w:eastAsia="仿宋_GB2312" w:cs="Times New Roman"/>
          <w:color w:val="000000"/>
          <w:sz w:val="32"/>
          <w:szCs w:val="32"/>
          <w:highlight w:val="none"/>
        </w:rPr>
        <w:t>区民政局组织评估团队开展成效评估工作。</w:t>
      </w:r>
    </w:p>
    <w:p w14:paraId="0996936C">
      <w:pPr>
        <w:keepNext w:val="0"/>
        <w:keepLines w:val="0"/>
        <w:pageBreakBefore w:val="0"/>
        <w:widowControl w:val="0"/>
        <w:kinsoku/>
        <w:wordWrap/>
        <w:overflowPunct/>
        <w:topLinePunct w:val="0"/>
        <w:autoSpaceDE/>
        <w:autoSpaceDN/>
        <w:bidi w:val="0"/>
        <w:adjustRightInd/>
        <w:snapToGrid/>
        <w:spacing w:line="550" w:lineRule="exact"/>
        <w:ind w:firstLine="640" w:firstLineChars="200"/>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十二、对承接机构执行协议情况的监督管理要求</w:t>
      </w:r>
    </w:p>
    <w:p w14:paraId="2832953A">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（一）为保证评审工作质量，减少风险，</w:t>
      </w:r>
      <w:r>
        <w:rPr>
          <w:rFonts w:hint="default" w:ascii="Times New Roman" w:hAnsi="Times New Roman" w:eastAsia="仿宋_GB2312" w:cs="Times New Roman"/>
          <w:color w:val="000000"/>
          <w:sz w:val="32"/>
          <w:szCs w:val="32"/>
          <w:highlight w:val="none"/>
          <w:lang w:eastAsia="zh-CN"/>
        </w:rPr>
        <w:t>越秀</w:t>
      </w:r>
      <w:r>
        <w:rPr>
          <w:rFonts w:hint="default" w:ascii="Times New Roman" w:hAnsi="Times New Roman" w:eastAsia="仿宋_GB2312" w:cs="Times New Roman"/>
          <w:color w:val="000000"/>
          <w:sz w:val="32"/>
          <w:szCs w:val="32"/>
          <w:highlight w:val="none"/>
        </w:rPr>
        <w:t>区民政局在协议期内对中标人执行协议情况进行跟踪核查。</w:t>
      </w:r>
    </w:p>
    <w:p w14:paraId="1C4AC797">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（二）</w:t>
      </w:r>
      <w:r>
        <w:rPr>
          <w:rFonts w:hint="default" w:ascii="Times New Roman" w:hAnsi="Times New Roman" w:eastAsia="仿宋_GB2312" w:cs="Times New Roman"/>
          <w:color w:val="000000"/>
          <w:sz w:val="32"/>
          <w:szCs w:val="32"/>
          <w:highlight w:val="none"/>
          <w:lang w:val="en-US" w:eastAsia="zh-CN"/>
        </w:rPr>
        <w:t>承接</w:t>
      </w:r>
      <w:r>
        <w:rPr>
          <w:rFonts w:hint="default" w:ascii="Times New Roman" w:hAnsi="Times New Roman" w:eastAsia="仿宋_GB2312" w:cs="Times New Roman"/>
          <w:color w:val="000000"/>
          <w:sz w:val="32"/>
          <w:szCs w:val="32"/>
          <w:highlight w:val="none"/>
        </w:rPr>
        <w:t>机构在协议执行期内如被发现存在以下问题,通过有关部门核实查处，</w:t>
      </w:r>
      <w:r>
        <w:rPr>
          <w:rFonts w:hint="default" w:ascii="Times New Roman" w:hAnsi="Times New Roman" w:eastAsia="仿宋_GB2312" w:cs="Times New Roman"/>
          <w:color w:val="000000"/>
          <w:sz w:val="32"/>
          <w:szCs w:val="32"/>
          <w:highlight w:val="none"/>
          <w:lang w:eastAsia="zh-CN"/>
        </w:rPr>
        <w:t>越秀</w:t>
      </w:r>
      <w:r>
        <w:rPr>
          <w:rFonts w:hint="default" w:ascii="Times New Roman" w:hAnsi="Times New Roman" w:eastAsia="仿宋_GB2312" w:cs="Times New Roman"/>
          <w:color w:val="000000"/>
          <w:sz w:val="32"/>
          <w:szCs w:val="32"/>
          <w:highlight w:val="none"/>
        </w:rPr>
        <w:t>区民政局有权终止服务协议，保留停止支付或追回已支付的费用和追究其法律责任的权利，并将有关情况向政府采购监管部门反映，</w:t>
      </w:r>
      <w:r>
        <w:rPr>
          <w:rFonts w:hint="default" w:ascii="Times New Roman" w:hAnsi="Times New Roman" w:eastAsia="仿宋_GB2312" w:cs="Times New Roman"/>
          <w:color w:val="000000"/>
          <w:sz w:val="32"/>
          <w:szCs w:val="32"/>
          <w:highlight w:val="none"/>
          <w:lang w:val="en-US" w:eastAsia="zh-CN"/>
        </w:rPr>
        <w:t>移送</w:t>
      </w:r>
      <w:r>
        <w:rPr>
          <w:rFonts w:hint="default" w:ascii="Times New Roman" w:hAnsi="Times New Roman" w:eastAsia="仿宋_GB2312" w:cs="Times New Roman"/>
          <w:color w:val="000000"/>
          <w:sz w:val="32"/>
          <w:szCs w:val="32"/>
          <w:highlight w:val="none"/>
        </w:rPr>
        <w:t>有关部门处理：</w:t>
      </w:r>
    </w:p>
    <w:p w14:paraId="2C94B30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1.违反有关</w:t>
      </w:r>
      <w:r>
        <w:rPr>
          <w:rFonts w:hint="eastAsia" w:eastAsia="仿宋_GB2312" w:cs="Times New Roman"/>
          <w:color w:val="000000"/>
          <w:sz w:val="32"/>
          <w:szCs w:val="32"/>
          <w:highlight w:val="none"/>
          <w:lang w:eastAsia="zh-CN"/>
        </w:rPr>
        <w:t>法律法规</w:t>
      </w:r>
      <w:r>
        <w:rPr>
          <w:rFonts w:hint="default" w:ascii="Times New Roman" w:hAnsi="Times New Roman" w:eastAsia="仿宋_GB2312" w:cs="Times New Roman"/>
          <w:color w:val="000000"/>
          <w:sz w:val="32"/>
          <w:szCs w:val="32"/>
          <w:highlight w:val="none"/>
        </w:rPr>
        <w:t>和政策规定，造成采购人及相关单位损失的；</w:t>
      </w:r>
    </w:p>
    <w:p w14:paraId="13D0176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2.通过提供虚假信息、误导或欺骗等方式，谋取非法利益的；</w:t>
      </w:r>
    </w:p>
    <w:p w14:paraId="4E9FC06D">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3.采用非法手段进行不正当竞争的，构成恶劣影响的；</w:t>
      </w:r>
    </w:p>
    <w:p w14:paraId="5D6D30F5">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4.无正当理由拒绝委托或未经采购人书面同意擅自将项目委托给第三方的；</w:t>
      </w:r>
    </w:p>
    <w:p w14:paraId="2A4D568B">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5.拒绝接受采购人监督检查的；</w:t>
      </w:r>
    </w:p>
    <w:p w14:paraId="0644162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6.不按要求制作保管服务档案资料的；</w:t>
      </w:r>
    </w:p>
    <w:p w14:paraId="6903C718">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7.服务质量不符合要求的；</w:t>
      </w:r>
    </w:p>
    <w:p w14:paraId="51B3067E">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rPr>
        <w:t>8.不按规定使用购买服务经费</w:t>
      </w:r>
      <w:r>
        <w:rPr>
          <w:rFonts w:hint="default" w:ascii="Times New Roman" w:hAnsi="Times New Roman" w:eastAsia="仿宋_GB2312" w:cs="Times New Roman"/>
          <w:color w:val="000000"/>
          <w:sz w:val="32"/>
          <w:szCs w:val="32"/>
          <w:highlight w:val="none"/>
          <w:lang w:val="en-US" w:eastAsia="zh-CN"/>
        </w:rPr>
        <w:t>的；</w:t>
      </w:r>
    </w:p>
    <w:p w14:paraId="62A5F836">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baseline"/>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9.未履行消防安全职责等造成生命财产损失的其他情况。</w:t>
      </w:r>
    </w:p>
    <w:p w14:paraId="37A0CF91">
      <w:pPr>
        <w:keepNext w:val="0"/>
        <w:keepLines w:val="0"/>
        <w:pageBreakBefore w:val="0"/>
        <w:widowControl w:val="0"/>
        <w:kinsoku/>
        <w:wordWrap/>
        <w:overflowPunct/>
        <w:topLinePunct w:val="0"/>
        <w:autoSpaceDE/>
        <w:autoSpaceDN/>
        <w:bidi w:val="0"/>
        <w:adjustRightInd/>
        <w:snapToGrid/>
        <w:spacing w:line="550" w:lineRule="exact"/>
        <w:ind w:firstLine="643" w:firstLineChars="200"/>
        <w:textAlignment w:val="baseline"/>
        <w:rPr>
          <w:rFonts w:hint="default" w:ascii="Times New Roman" w:hAnsi="Times New Roman" w:cs="Times New Roman"/>
          <w:highlight w:val="none"/>
        </w:rPr>
      </w:pPr>
      <w:r>
        <w:rPr>
          <w:rFonts w:hint="default" w:ascii="Times New Roman" w:hAnsi="Times New Roman" w:eastAsia="仿宋_GB2312" w:cs="Times New Roman"/>
          <w:b/>
          <w:bCs/>
          <w:color w:val="000000"/>
          <w:sz w:val="32"/>
          <w:szCs w:val="32"/>
          <w:highlight w:val="none"/>
        </w:rPr>
        <w:t>越秀区民政局</w:t>
      </w:r>
      <w:r>
        <w:rPr>
          <w:rFonts w:hint="default" w:ascii="Times New Roman" w:hAnsi="Times New Roman" w:eastAsia="仿宋_GB2312" w:cs="Times New Roman"/>
          <w:b/>
          <w:bCs/>
          <w:color w:val="000000"/>
          <w:sz w:val="32"/>
          <w:szCs w:val="32"/>
          <w:highlight w:val="none"/>
          <w:lang w:val="en-US" w:eastAsia="zh-CN"/>
        </w:rPr>
        <w:t>对本项目服务需求具有最终</w:t>
      </w:r>
      <w:r>
        <w:rPr>
          <w:rFonts w:hint="default" w:ascii="Times New Roman" w:hAnsi="Times New Roman" w:eastAsia="仿宋_GB2312" w:cs="Times New Roman"/>
          <w:b/>
          <w:bCs/>
          <w:color w:val="000000"/>
          <w:sz w:val="32"/>
          <w:szCs w:val="32"/>
          <w:highlight w:val="none"/>
        </w:rPr>
        <w:t>解释</w:t>
      </w:r>
      <w:r>
        <w:rPr>
          <w:rFonts w:hint="default" w:ascii="Times New Roman" w:hAnsi="Times New Roman" w:eastAsia="仿宋_GB2312" w:cs="Times New Roman"/>
          <w:b/>
          <w:bCs/>
          <w:color w:val="000000"/>
          <w:sz w:val="32"/>
          <w:szCs w:val="32"/>
          <w:highlight w:val="none"/>
          <w:lang w:val="en-US" w:eastAsia="zh-CN"/>
        </w:rPr>
        <w:t>权</w:t>
      </w:r>
      <w:r>
        <w:rPr>
          <w:rFonts w:hint="default" w:ascii="Times New Roman" w:hAnsi="Times New Roman" w:eastAsia="仿宋_GB2312" w:cs="Times New Roman"/>
          <w:b/>
          <w:bCs/>
          <w:color w:val="000000"/>
          <w:sz w:val="32"/>
          <w:szCs w:val="32"/>
          <w:highlight w:val="none"/>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F780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-41910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D6BA91">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3.3pt;height:144pt;width:144pt;mso-position-horizontal:outside;mso-position-horizontal-relative:margin;mso-wrap-style:none;z-index:251659264;mso-width-relative:page;mso-height-relative:page;" filled="f" stroked="f" coordsize="21600,21600" o:gfxdata="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FWj1LUAAAABwEAAA8AAAAAAAAAAQAgAAAA&#10;IgAAAGRycy9kb3ducmV2LnhtbFBLAQIUABQAAAAIAIdO4kDd855h1gEAALADAAAOAAAAAAAAAAEA&#10;IAAAACMBAABkcnMvZTJvRG9jLnhtbFBLBQYAAAAABgAGAFkBAABrBQAAAAA=&#10;">
              <v:fill on="f" focussize="0,0"/>
              <v:stroke on="f" weight="0.5pt"/>
              <v:imagedata o:title=""/>
              <o:lock v:ext="edit" aspectratio="f"/>
              <v:textbox inset="0mm,0mm,0mm,0mm" style="mso-fit-shape-to-text:t;">
                <w:txbxContent>
                  <w:p w14:paraId="74D6BA91">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E3A6C"/>
    <w:multiLevelType w:val="singleLevel"/>
    <w:tmpl w:val="EE3E3A6C"/>
    <w:lvl w:ilvl="0" w:tentative="0">
      <w:start w:val="3"/>
      <w:numFmt w:val="chineseCounting"/>
      <w:suff w:val="nothing"/>
      <w:lvlText w:val="%1、"/>
      <w:lvlJc w:val="left"/>
      <w:pPr>
        <w:ind w:left="-10"/>
      </w:pPr>
      <w:rPr>
        <w:rFonts w:hint="eastAsia"/>
      </w:rPr>
    </w:lvl>
  </w:abstractNum>
  <w:abstractNum w:abstractNumId="1">
    <w:nsid w:val="6ABEBFCC"/>
    <w:multiLevelType w:val="singleLevel"/>
    <w:tmpl w:val="6ABEBFCC"/>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NGE1MTRhNmE0MmZlZTVkMDcxNmY2ZWRiYzM5ODIifQ=="/>
  </w:docVars>
  <w:rsids>
    <w:rsidRoot w:val="1937796E"/>
    <w:rsid w:val="015724B9"/>
    <w:rsid w:val="044142C2"/>
    <w:rsid w:val="07107BC6"/>
    <w:rsid w:val="0A8F6E01"/>
    <w:rsid w:val="0AB673F2"/>
    <w:rsid w:val="0B2E2859"/>
    <w:rsid w:val="0CA17BC7"/>
    <w:rsid w:val="109D52CA"/>
    <w:rsid w:val="13B01DA8"/>
    <w:rsid w:val="1937796E"/>
    <w:rsid w:val="1C8113E7"/>
    <w:rsid w:val="2008261D"/>
    <w:rsid w:val="222D4521"/>
    <w:rsid w:val="23B012AC"/>
    <w:rsid w:val="244C5F8A"/>
    <w:rsid w:val="2C610C7F"/>
    <w:rsid w:val="2FA9010F"/>
    <w:rsid w:val="30FF4D34"/>
    <w:rsid w:val="312321EB"/>
    <w:rsid w:val="348D74F6"/>
    <w:rsid w:val="3D4C7AFB"/>
    <w:rsid w:val="3E572CA6"/>
    <w:rsid w:val="3F4825A6"/>
    <w:rsid w:val="41200E85"/>
    <w:rsid w:val="419F0188"/>
    <w:rsid w:val="41D31E33"/>
    <w:rsid w:val="42713974"/>
    <w:rsid w:val="430330F3"/>
    <w:rsid w:val="43635059"/>
    <w:rsid w:val="4A325AB6"/>
    <w:rsid w:val="4A9E2CA3"/>
    <w:rsid w:val="4D2D1C46"/>
    <w:rsid w:val="54222303"/>
    <w:rsid w:val="54C61E9A"/>
    <w:rsid w:val="54FA7C99"/>
    <w:rsid w:val="56E10C5F"/>
    <w:rsid w:val="59B31E91"/>
    <w:rsid w:val="5EB928E2"/>
    <w:rsid w:val="61604722"/>
    <w:rsid w:val="62CF06F3"/>
    <w:rsid w:val="6809258C"/>
    <w:rsid w:val="6C795B5E"/>
    <w:rsid w:val="6D186ED0"/>
    <w:rsid w:val="722A62B0"/>
    <w:rsid w:val="773A6BB3"/>
    <w:rsid w:val="77F008AA"/>
    <w:rsid w:val="7AC40487"/>
    <w:rsid w:val="7D202558"/>
    <w:rsid w:val="7D4A0F45"/>
    <w:rsid w:val="7FF43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9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rPr>
      <w:rFonts w:ascii="Calibri" w:hAnsi="Calibri" w:cs="Calibri"/>
    </w:rPr>
  </w:style>
  <w:style w:type="paragraph" w:styleId="3">
    <w:name w:val="toc 4"/>
    <w:basedOn w:val="1"/>
    <w:next w:val="1"/>
    <w:qFormat/>
    <w:uiPriority w:val="99"/>
    <w:pPr>
      <w:ind w:left="1260" w:leftChars="600"/>
    </w:pPr>
  </w:style>
  <w:style w:type="paragraph" w:styleId="4">
    <w:name w:val="Body Text"/>
    <w:basedOn w:val="1"/>
    <w:qFormat/>
    <w:uiPriority w:val="0"/>
    <w:pPr>
      <w:spacing w:line="480" w:lineRule="atLeast"/>
    </w:pPr>
    <w:rPr>
      <w:rFonts w:ascii="楷体_GB2312" w:eastAsia="楷体_GB2312"/>
      <w:b/>
      <w:sz w:val="30"/>
      <w:szCs w:val="20"/>
    </w:rPr>
  </w:style>
  <w:style w:type="paragraph" w:styleId="5">
    <w:name w:val="Plain Text"/>
    <w:basedOn w:val="1"/>
    <w:next w:val="1"/>
    <w:qFormat/>
    <w:uiPriority w:val="99"/>
    <w:rPr>
      <w:rFonts w:ascii="宋体" w:hAnsi="Courier New"/>
    </w:rPr>
  </w:style>
  <w:style w:type="paragraph" w:styleId="6">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9">
    <w:name w:val="Table Grid"/>
    <w:basedOn w:val="8"/>
    <w:qFormat/>
    <w:uiPriority w:val="0"/>
    <w:pPr>
      <w:widowControl w:val="0"/>
      <w:autoSpaceDE w:val="0"/>
      <w:autoSpaceDN w:val="0"/>
      <w:adjustRightInd w:val="0"/>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000000"/>
      <w:u w:val="none"/>
    </w:rPr>
  </w:style>
  <w:style w:type="character" w:styleId="13">
    <w:name w:val="Hyperlink"/>
    <w:basedOn w:val="10"/>
    <w:qFormat/>
    <w:uiPriority w:val="0"/>
    <w:rPr>
      <w:color w:val="000000"/>
      <w:u w:val="none"/>
    </w:rPr>
  </w:style>
  <w:style w:type="paragraph" w:customStyle="1" w:styleId="14">
    <w:name w:val="段"/>
    <w:basedOn w:val="1"/>
    <w:qFormat/>
    <w:uiPriority w:val="99"/>
    <w:pPr>
      <w:widowControl/>
      <w:tabs>
        <w:tab w:val="center" w:pos="4201"/>
        <w:tab w:val="right" w:leader="dot" w:pos="9298"/>
      </w:tabs>
      <w:autoSpaceDE w:val="0"/>
      <w:autoSpaceDN w:val="0"/>
      <w:ind w:firstLine="420" w:firstLineChars="200"/>
    </w:pPr>
    <w:rPr>
      <w:rFonts w:ascii="宋体" w:hAnsi="宋体"/>
      <w:kern w:val="24"/>
      <w:sz w:val="20"/>
      <w:szCs w:val="32"/>
    </w:rPr>
  </w:style>
  <w:style w:type="character" w:customStyle="1" w:styleId="15">
    <w:name w:val="big"/>
    <w:basedOn w:val="10"/>
    <w:qFormat/>
    <w:uiPriority w:val="0"/>
    <w:rPr>
      <w:sz w:val="75"/>
      <w:szCs w:val="75"/>
    </w:rPr>
  </w:style>
  <w:style w:type="character" w:customStyle="1" w:styleId="16">
    <w:name w:val="common_nav_list41"/>
    <w:basedOn w:val="10"/>
    <w:qFormat/>
    <w:uiPriority w:val="0"/>
  </w:style>
  <w:style w:type="character" w:customStyle="1" w:styleId="17">
    <w:name w:val="cen"/>
    <w:basedOn w:val="10"/>
    <w:qFormat/>
    <w:uiPriority w:val="0"/>
  </w:style>
  <w:style w:type="character" w:customStyle="1" w:styleId="18">
    <w:name w:val="on2"/>
    <w:basedOn w:val="10"/>
    <w:qFormat/>
    <w:uiPriority w:val="0"/>
  </w:style>
  <w:style w:type="character" w:customStyle="1" w:styleId="19">
    <w:name w:val="on3"/>
    <w:basedOn w:val="10"/>
    <w:qFormat/>
    <w:uiPriority w:val="0"/>
    <w:rPr>
      <w:color w:val="FFFFFF"/>
      <w:shd w:val="clear" w:fill="2073C8"/>
    </w:rPr>
  </w:style>
  <w:style w:type="character" w:customStyle="1" w:styleId="20">
    <w:name w:val="first-child"/>
    <w:basedOn w:val="10"/>
    <w:qFormat/>
    <w:uiPriority w:val="0"/>
  </w:style>
  <w:style w:type="character" w:customStyle="1" w:styleId="21">
    <w:name w:val="first-child1"/>
    <w:basedOn w:val="10"/>
    <w:qFormat/>
    <w:uiPriority w:val="0"/>
  </w:style>
  <w:style w:type="character" w:customStyle="1" w:styleId="22">
    <w:name w:val="first-child2"/>
    <w:basedOn w:val="10"/>
    <w:qFormat/>
    <w:uiPriority w:val="0"/>
  </w:style>
  <w:style w:type="character" w:customStyle="1" w:styleId="23">
    <w:name w:val="first-child3"/>
    <w:basedOn w:val="10"/>
    <w:qFormat/>
    <w:uiPriority w:val="0"/>
  </w:style>
  <w:style w:type="character" w:customStyle="1" w:styleId="24">
    <w:name w:val="first-child4"/>
    <w:basedOn w:val="10"/>
    <w:qFormat/>
    <w:uiPriority w:val="0"/>
  </w:style>
  <w:style w:type="character" w:customStyle="1" w:styleId="25">
    <w:name w:val="first-child5"/>
    <w:basedOn w:val="10"/>
    <w:qFormat/>
    <w:uiPriority w:val="0"/>
  </w:style>
  <w:style w:type="character" w:customStyle="1" w:styleId="26">
    <w:name w:val="first-child6"/>
    <w:basedOn w:val="10"/>
    <w:qFormat/>
    <w:uiPriority w:val="0"/>
    <w:rPr>
      <w:b/>
      <w:bCs/>
      <w:u w:val="single"/>
    </w:rPr>
  </w:style>
  <w:style w:type="character" w:customStyle="1" w:styleId="27">
    <w:name w:val="first-child7"/>
    <w:basedOn w:val="10"/>
    <w:qFormat/>
    <w:uiPriority w:val="0"/>
  </w:style>
  <w:style w:type="character" w:customStyle="1" w:styleId="28">
    <w:name w:val="first-child8"/>
    <w:basedOn w:val="10"/>
    <w:qFormat/>
    <w:uiPriority w:val="0"/>
  </w:style>
  <w:style w:type="character" w:customStyle="1" w:styleId="29">
    <w:name w:val="first-child9"/>
    <w:basedOn w:val="10"/>
    <w:qFormat/>
    <w:uiPriority w:val="0"/>
    <w:rPr>
      <w:b/>
      <w:bCs/>
      <w:u w:val="single"/>
    </w:rPr>
  </w:style>
  <w:style w:type="character" w:customStyle="1" w:styleId="30">
    <w:name w:val="first-child10"/>
    <w:basedOn w:val="10"/>
    <w:qFormat/>
    <w:uiPriority w:val="0"/>
  </w:style>
  <w:style w:type="character" w:customStyle="1" w:styleId="31">
    <w:name w:val="first-child11"/>
    <w:basedOn w:val="10"/>
    <w:qFormat/>
    <w:uiPriority w:val="0"/>
  </w:style>
  <w:style w:type="character" w:customStyle="1" w:styleId="32">
    <w:name w:val="first-child12"/>
    <w:basedOn w:val="10"/>
    <w:qFormat/>
    <w:uiPriority w:val="0"/>
    <w:rPr>
      <w:b/>
      <w:bCs/>
      <w:u w:val="single"/>
    </w:rPr>
  </w:style>
  <w:style w:type="character" w:customStyle="1" w:styleId="33">
    <w:name w:val="first-child13"/>
    <w:basedOn w:val="10"/>
    <w:qFormat/>
    <w:uiPriority w:val="0"/>
  </w:style>
  <w:style w:type="character" w:customStyle="1" w:styleId="34">
    <w:name w:val="first-child14"/>
    <w:basedOn w:val="10"/>
    <w:qFormat/>
    <w:uiPriority w:val="0"/>
    <w:rPr>
      <w:b/>
      <w:bCs/>
      <w:u w:val="single"/>
    </w:rPr>
  </w:style>
  <w:style w:type="character" w:customStyle="1" w:styleId="35">
    <w:name w:val="first-child15"/>
    <w:basedOn w:val="10"/>
    <w:qFormat/>
    <w:uiPriority w:val="0"/>
  </w:style>
  <w:style w:type="character" w:customStyle="1" w:styleId="36">
    <w:name w:val="first-child16"/>
    <w:basedOn w:val="10"/>
    <w:qFormat/>
    <w:uiPriority w:val="0"/>
  </w:style>
  <w:style w:type="character" w:customStyle="1" w:styleId="37">
    <w:name w:val="first-child17"/>
    <w:basedOn w:val="10"/>
    <w:qFormat/>
    <w:uiPriority w:val="0"/>
  </w:style>
  <w:style w:type="character" w:customStyle="1" w:styleId="38">
    <w:name w:val="first-child18"/>
    <w:basedOn w:val="10"/>
    <w:qFormat/>
    <w:uiPriority w:val="0"/>
  </w:style>
  <w:style w:type="character" w:customStyle="1" w:styleId="39">
    <w:name w:val="first-child19"/>
    <w:basedOn w:val="10"/>
    <w:qFormat/>
    <w:uiPriority w:val="0"/>
    <w:rPr>
      <w:u w:val="none"/>
    </w:rPr>
  </w:style>
  <w:style w:type="character" w:customStyle="1" w:styleId="40">
    <w:name w:val="first-child20"/>
    <w:basedOn w:val="10"/>
    <w:qFormat/>
    <w:uiPriority w:val="0"/>
  </w:style>
  <w:style w:type="character" w:customStyle="1" w:styleId="41">
    <w:name w:val="first-child21"/>
    <w:basedOn w:val="10"/>
    <w:qFormat/>
    <w:uiPriority w:val="0"/>
    <w:rPr>
      <w:b/>
      <w:bCs/>
    </w:rPr>
  </w:style>
  <w:style w:type="character" w:customStyle="1" w:styleId="42">
    <w:name w:val="first-child22"/>
    <w:basedOn w:val="10"/>
    <w:qFormat/>
    <w:uiPriority w:val="0"/>
    <w:rPr>
      <w:b/>
      <w:bCs/>
    </w:rPr>
  </w:style>
  <w:style w:type="character" w:customStyle="1" w:styleId="43">
    <w:name w:val="first-child23"/>
    <w:basedOn w:val="10"/>
    <w:qFormat/>
    <w:uiPriority w:val="0"/>
  </w:style>
  <w:style w:type="character" w:customStyle="1" w:styleId="44">
    <w:name w:val="wza"/>
    <w:basedOn w:val="10"/>
    <w:qFormat/>
    <w:uiPriority w:val="0"/>
    <w:rPr>
      <w:color w:val="FFFFFF"/>
      <w:bdr w:val="single" w:color="FFFFFF" w:sz="6" w:space="0"/>
    </w:rPr>
  </w:style>
  <w:style w:type="character" w:customStyle="1" w:styleId="45">
    <w:name w:val="first"/>
    <w:basedOn w:val="10"/>
    <w:qFormat/>
    <w:uiPriority w:val="0"/>
  </w:style>
  <w:style w:type="character" w:customStyle="1" w:styleId="46">
    <w:name w:val="first1"/>
    <w:basedOn w:val="10"/>
    <w:qFormat/>
    <w:uiPriority w:val="0"/>
    <w:rPr>
      <w:b/>
      <w:bCs/>
      <w:u w:val="single"/>
    </w:rPr>
  </w:style>
  <w:style w:type="character" w:customStyle="1" w:styleId="47">
    <w:name w:val="first2"/>
    <w:basedOn w:val="10"/>
    <w:qFormat/>
    <w:uiPriority w:val="0"/>
  </w:style>
  <w:style w:type="character" w:customStyle="1" w:styleId="48">
    <w:name w:val="first3"/>
    <w:basedOn w:val="10"/>
    <w:qFormat/>
    <w:uiPriority w:val="0"/>
    <w:rPr>
      <w:b/>
      <w:bCs/>
      <w:u w:val="single"/>
    </w:rPr>
  </w:style>
  <w:style w:type="character" w:customStyle="1" w:styleId="49">
    <w:name w:val="layui-layer-tabnow"/>
    <w:basedOn w:val="10"/>
    <w:qFormat/>
    <w:uiPriority w:val="0"/>
    <w:rPr>
      <w:bdr w:val="single" w:color="CCCCCC" w:sz="6" w:space="0"/>
      <w:shd w:val="clear" w:fill="FFFFFF"/>
    </w:rPr>
  </w:style>
  <w:style w:type="character" w:customStyle="1" w:styleId="50">
    <w:name w:val="first-child+span"/>
    <w:basedOn w:val="10"/>
    <w:qFormat/>
    <w:uiPriority w:val="0"/>
  </w:style>
  <w:style w:type="character" w:customStyle="1" w:styleId="51">
    <w:name w:val="organization_tab_txt"/>
    <w:basedOn w:val="10"/>
    <w:qFormat/>
    <w:uiPriority w:val="0"/>
  </w:style>
  <w:style w:type="character" w:customStyle="1" w:styleId="52">
    <w:name w:val="organization_tab_txt1"/>
    <w:basedOn w:val="10"/>
    <w:qFormat/>
    <w:uiPriority w:val="0"/>
  </w:style>
  <w:style w:type="character" w:customStyle="1" w:styleId="53">
    <w:name w:val="common_nav_list21"/>
    <w:basedOn w:val="10"/>
    <w:qFormat/>
    <w:uiPriority w:val="0"/>
  </w:style>
  <w:style w:type="character" w:customStyle="1" w:styleId="54">
    <w:name w:val="common_nav_list31"/>
    <w:basedOn w:val="10"/>
    <w:qFormat/>
    <w:uiPriority w:val="0"/>
  </w:style>
  <w:style w:type="character" w:customStyle="1" w:styleId="55">
    <w:name w:val="common_hot_txt"/>
    <w:basedOn w:val="10"/>
    <w:qFormat/>
    <w:uiPriority w:val="0"/>
    <w:rPr>
      <w:vanish/>
      <w:color w:val="6A717A"/>
      <w:sz w:val="19"/>
      <w:szCs w:val="19"/>
    </w:rPr>
  </w:style>
  <w:style w:type="paragraph" w:customStyle="1" w:styleId="56">
    <w:name w:val="表格文字"/>
    <w:basedOn w:val="1"/>
    <w:qFormat/>
    <w:uiPriority w:val="0"/>
    <w:pPr>
      <w:autoSpaceDE/>
      <w:autoSpaceDN/>
      <w:adjustRightInd/>
      <w:spacing w:before="25" w:after="25"/>
      <w:ind w:firstLine="0" w:firstLineChars="0"/>
    </w:pPr>
    <w:rPr>
      <w:bCs/>
      <w:spacing w:val="1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4583</Words>
  <Characters>4704</Characters>
  <Lines>0</Lines>
  <Paragraphs>0</Paragraphs>
  <TotalTime>0</TotalTime>
  <ScaleCrop>false</ScaleCrop>
  <LinksUpToDate>false</LinksUpToDate>
  <CharactersWithSpaces>4708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2023-05-23T01:58:00Z</dcterms:created>
  <dc:creator>Zero"</dc:creator>
  <cp:lastModifiedBy>Zero"</cp:lastModifiedBy>
  <cp:lastPrinted>2025-05-12T07:30:00Z</cp:lastPrinted>
  <dcterms:modified xsi:type="dcterms:W3CDTF">2025-05-19T09:07:25Z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49C242CE386C42D795C98C3CD5E31BE3</vt:lpwstr>
  </property>
  <property fmtid="{D5CDD505-2E9C-101B-9397-08002B2CF9AE}" pid="4" name="KSOTemplateDocerSaveRecord">
    <vt:lpwstr>eyJoZGlkIjoiZjg1MWNhYWQ3Y2I2YjEzODNiNGJkMDkxN2VhNzYxOTIiLCJ1c2VySWQiOiIyMjUzOTE3OTIifQ==</vt:lpwstr>
  </property>
</Properties>
</file>