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A7DD9">
      <w:pPr>
        <w:spacing w:line="560" w:lineRule="exact"/>
        <w:rPr>
          <w:rFonts w:hint="eastAsia" w:eastAsia="黑体"/>
          <w:kern w:val="0"/>
          <w:sz w:val="32"/>
          <w:szCs w:val="32"/>
          <w:lang w:eastAsia="zh-CN"/>
        </w:rPr>
      </w:pPr>
      <w:r>
        <w:rPr>
          <w:rFonts w:hint="eastAsia" w:eastAsia="黑体"/>
          <w:kern w:val="0"/>
          <w:sz w:val="32"/>
          <w:szCs w:val="32"/>
        </w:rPr>
        <w:t>附件</w:t>
      </w:r>
      <w:r>
        <w:rPr>
          <w:rFonts w:eastAsia="黑体"/>
          <w:kern w:val="0"/>
          <w:sz w:val="32"/>
          <w:szCs w:val="32"/>
        </w:rPr>
        <w:t>1-</w:t>
      </w:r>
      <w:r>
        <w:rPr>
          <w:rFonts w:hint="eastAsia" w:eastAsia="黑体"/>
          <w:kern w:val="0"/>
          <w:sz w:val="32"/>
          <w:szCs w:val="32"/>
          <w:lang w:val="en-US" w:eastAsia="zh-CN"/>
        </w:rPr>
        <w:t>3</w:t>
      </w:r>
    </w:p>
    <w:p w14:paraId="189FDF30">
      <w:pPr>
        <w:spacing w:line="560" w:lineRule="exact"/>
        <w:rPr>
          <w:rFonts w:eastAsia="仿宋_GB2312"/>
          <w:kern w:val="0"/>
          <w:sz w:val="32"/>
          <w:szCs w:val="32"/>
        </w:rPr>
      </w:pPr>
    </w:p>
    <w:p w14:paraId="23D86237">
      <w:pPr>
        <w:spacing w:line="560" w:lineRule="exact"/>
        <w:jc w:val="center"/>
        <w:rPr>
          <w:rFonts w:eastAsia="方正小标宋简体"/>
          <w:b/>
          <w:kern w:val="0"/>
          <w:sz w:val="36"/>
          <w:szCs w:val="36"/>
        </w:rPr>
      </w:pPr>
      <w:r>
        <w:rPr>
          <w:rFonts w:hint="eastAsia" w:eastAsia="方正小标宋简体"/>
          <w:b/>
          <w:kern w:val="0"/>
          <w:sz w:val="36"/>
          <w:szCs w:val="36"/>
        </w:rPr>
        <w:t>融合创新应用教学案例项目说明及报送要求</w:t>
      </w:r>
    </w:p>
    <w:p w14:paraId="55444642">
      <w:pPr>
        <w:adjustRightInd w:val="0"/>
        <w:snapToGrid w:val="0"/>
        <w:spacing w:line="560" w:lineRule="exact"/>
        <w:rPr>
          <w:rFonts w:eastAsia="仿宋_GB2312"/>
          <w:sz w:val="32"/>
          <w:szCs w:val="32"/>
        </w:rPr>
      </w:pPr>
    </w:p>
    <w:p w14:paraId="111D58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lang w:val="en-US" w:eastAsia="zh-CN"/>
        </w:rPr>
        <w:t>一、</w:t>
      </w:r>
      <w:r>
        <w:rPr>
          <w:rFonts w:hint="eastAsia" w:ascii="黑体" w:hAnsi="黑体" w:eastAsia="黑体" w:cs="黑体"/>
          <w:b w:val="0"/>
          <w:bCs w:val="0"/>
          <w:sz w:val="32"/>
          <w:szCs w:val="32"/>
          <w:highlight w:val="none"/>
        </w:rPr>
        <w:t>参加人员范围</w:t>
      </w:r>
    </w:p>
    <w:p w14:paraId="142A1CD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宋体" w:eastAsia="仿宋_GB2312"/>
          <w:b w:val="0"/>
          <w:bCs w:val="0"/>
          <w:sz w:val="30"/>
          <w:szCs w:val="30"/>
          <w:highlight w:val="none"/>
          <w:lang w:eastAsia="zh-CN"/>
        </w:rPr>
      </w:pPr>
      <w:r>
        <w:rPr>
          <w:rFonts w:hint="eastAsia" w:ascii="仿宋_GB2312" w:hAnsi="宋体" w:eastAsia="仿宋_GB2312"/>
          <w:b w:val="0"/>
          <w:bCs w:val="0"/>
          <w:sz w:val="30"/>
          <w:szCs w:val="30"/>
          <w:highlight w:val="none"/>
        </w:rPr>
        <w:t>学前教育、特殊教育、中小学、教育部门</w:t>
      </w:r>
      <w:r>
        <w:rPr>
          <w:rFonts w:hint="eastAsia" w:ascii="仿宋_GB2312" w:hAnsi="宋体" w:eastAsia="仿宋_GB2312"/>
          <w:b w:val="0"/>
          <w:bCs w:val="0"/>
          <w:sz w:val="30"/>
          <w:szCs w:val="30"/>
          <w:highlight w:val="none"/>
          <w:lang w:eastAsia="zh-CN"/>
        </w:rPr>
        <w:t>教师</w:t>
      </w:r>
      <w:r>
        <w:rPr>
          <w:rFonts w:hint="eastAsia" w:ascii="仿宋_GB2312" w:hAnsi="宋体" w:eastAsia="仿宋_GB2312"/>
          <w:b w:val="0"/>
          <w:bCs w:val="0"/>
          <w:sz w:val="30"/>
          <w:szCs w:val="30"/>
          <w:highlight w:val="none"/>
        </w:rPr>
        <w:t>。</w:t>
      </w:r>
    </w:p>
    <w:p w14:paraId="7A29FEAC">
      <w:pPr>
        <w:numPr>
          <w:ilvl w:val="0"/>
          <w:numId w:val="1"/>
        </w:numPr>
        <w:adjustRightInd w:val="0"/>
        <w:snapToGrid w:val="0"/>
        <w:spacing w:line="560" w:lineRule="exact"/>
        <w:ind w:left="525" w:firstLine="0" w:firstLineChars="0"/>
        <w:textAlignment w:val="baseline"/>
        <w:rPr>
          <w:rFonts w:hint="eastAsia" w:eastAsia="黑体"/>
          <w:kern w:val="0"/>
          <w:sz w:val="32"/>
          <w:szCs w:val="32"/>
          <w:lang w:val="en-US" w:eastAsia="zh-CN"/>
        </w:rPr>
      </w:pPr>
      <w:r>
        <w:rPr>
          <w:rFonts w:hint="default" w:ascii="Times New Roman" w:hAnsi="Times New Roman" w:eastAsia="黑体"/>
          <w:kern w:val="0"/>
          <w:sz w:val="32"/>
          <w:szCs w:val="32"/>
          <w:lang w:val="en-US" w:eastAsia="zh-CN"/>
        </w:rPr>
        <w:t>项目内容</w:t>
      </w:r>
      <w:r>
        <w:rPr>
          <w:rFonts w:hint="eastAsia" w:eastAsia="黑体"/>
          <w:kern w:val="0"/>
          <w:sz w:val="32"/>
          <w:szCs w:val="32"/>
          <w:lang w:val="en-US" w:eastAsia="zh-CN"/>
        </w:rPr>
        <w:t>及分类要求</w:t>
      </w:r>
    </w:p>
    <w:p w14:paraId="5C683AE6">
      <w:pPr>
        <w:numPr>
          <w:ilvl w:val="-1"/>
          <w:numId w:val="0"/>
        </w:numPr>
        <w:adjustRightInd w:val="0"/>
        <w:snapToGrid w:val="0"/>
        <w:spacing w:line="560" w:lineRule="exact"/>
        <w:ind w:left="420" w:leftChars="200" w:firstLine="0" w:firstLineChars="0"/>
        <w:textAlignment w:val="baseline"/>
        <w:rPr>
          <w:rFonts w:hint="eastAsia" w:eastAsia="仿宋_GB2312"/>
          <w:b/>
          <w:bCs/>
          <w:sz w:val="30"/>
          <w:szCs w:val="30"/>
          <w:lang w:val="en-US" w:eastAsia="zh-CN"/>
        </w:rPr>
      </w:pPr>
      <w:r>
        <w:rPr>
          <w:rFonts w:hint="eastAsia" w:eastAsia="仿宋_GB2312"/>
          <w:b/>
          <w:bCs/>
          <w:sz w:val="30"/>
          <w:szCs w:val="30"/>
          <w:lang w:val="en-US" w:eastAsia="zh-CN"/>
        </w:rPr>
        <w:t>（一）项目内容</w:t>
      </w:r>
    </w:p>
    <w:p w14:paraId="701044EF">
      <w:pPr>
        <w:numPr>
          <w:ilvl w:val="-1"/>
          <w:numId w:val="0"/>
        </w:numPr>
        <w:adjustRightInd w:val="0"/>
        <w:snapToGrid w:val="0"/>
        <w:spacing w:line="560" w:lineRule="exact"/>
        <w:ind w:left="0" w:firstLine="600" w:firstLineChars="200"/>
        <w:textAlignment w:val="baseline"/>
        <w:rPr>
          <w:rFonts w:eastAsia="仿宋_GB2312"/>
          <w:kern w:val="0"/>
          <w:sz w:val="32"/>
          <w:szCs w:val="32"/>
        </w:rPr>
      </w:pPr>
      <w:r>
        <w:rPr>
          <w:rFonts w:hint="eastAsia" w:eastAsia="仿宋_GB2312"/>
          <w:sz w:val="30"/>
          <w:szCs w:val="30"/>
        </w:rPr>
        <w:t>融合创新应用教学案例是指教师</w:t>
      </w:r>
      <w:r>
        <w:rPr>
          <w:rFonts w:hint="eastAsia" w:eastAsia="仿宋_GB2312"/>
          <w:b w:val="0"/>
          <w:bCs w:val="0"/>
          <w:color w:val="auto"/>
          <w:sz w:val="30"/>
          <w:szCs w:val="30"/>
        </w:rPr>
        <w:t>将数字化、网络化、智能化等技术手段</w:t>
      </w:r>
      <w:r>
        <w:rPr>
          <w:rFonts w:hint="eastAsia" w:eastAsia="仿宋_GB2312"/>
          <w:sz w:val="30"/>
          <w:szCs w:val="30"/>
        </w:rPr>
        <w:t>作为教师组织与实施教学的工具和学生学习与认知的工具，以转变学生学习方式，改变课堂教学结构，形成具有明显成效、可借鉴、可复制的典型案例。</w:t>
      </w:r>
    </w:p>
    <w:p w14:paraId="2EA46F0F">
      <w:pPr>
        <w:adjustRightInd w:val="0"/>
        <w:snapToGrid w:val="0"/>
        <w:spacing w:line="560" w:lineRule="exact"/>
        <w:ind w:firstLine="600" w:firstLineChars="200"/>
        <w:textAlignment w:val="baseline"/>
        <w:rPr>
          <w:rFonts w:hint="eastAsia" w:eastAsia="仿宋_GB2312"/>
          <w:sz w:val="30"/>
          <w:szCs w:val="30"/>
        </w:rPr>
      </w:pPr>
      <w:r>
        <w:rPr>
          <w:rFonts w:hint="eastAsia" w:eastAsia="仿宋_GB2312"/>
          <w:sz w:val="30"/>
          <w:szCs w:val="30"/>
          <w:lang w:val="en-US" w:eastAsia="zh-CN"/>
        </w:rPr>
        <w:t>教学</w:t>
      </w:r>
      <w:r>
        <w:rPr>
          <w:rFonts w:hint="eastAsia" w:eastAsia="仿宋_GB2312"/>
          <w:sz w:val="30"/>
          <w:szCs w:val="30"/>
        </w:rPr>
        <w:t>案例</w:t>
      </w:r>
      <w:r>
        <w:rPr>
          <w:rFonts w:hint="eastAsia" w:eastAsia="仿宋_GB2312"/>
          <w:sz w:val="30"/>
          <w:szCs w:val="30"/>
          <w:lang w:val="en-US" w:eastAsia="zh-CN"/>
        </w:rPr>
        <w:t>要</w:t>
      </w:r>
      <w:r>
        <w:rPr>
          <w:rFonts w:hint="eastAsia" w:eastAsia="仿宋_GB2312"/>
          <w:sz w:val="30"/>
          <w:szCs w:val="30"/>
        </w:rPr>
        <w:t>能够反映国家“双新”“双减”要求，充分展示教师</w:t>
      </w:r>
      <w:r>
        <w:rPr>
          <w:rFonts w:hint="eastAsia" w:eastAsia="仿宋_GB2312"/>
          <w:b w:val="0"/>
          <w:bCs w:val="0"/>
          <w:color w:val="auto"/>
          <w:sz w:val="30"/>
          <w:szCs w:val="30"/>
        </w:rPr>
        <w:t>应用数字化、网络化、智能化等技术手段的融合创新成果</w:t>
      </w:r>
      <w:r>
        <w:rPr>
          <w:rFonts w:hint="eastAsia" w:eastAsia="仿宋_GB2312"/>
          <w:sz w:val="30"/>
          <w:szCs w:val="30"/>
        </w:rPr>
        <w:t>，彰显教育数字化转型特征，建议采用大单元、项目式、跨学科</w:t>
      </w:r>
      <w:r>
        <w:rPr>
          <w:rFonts w:hint="eastAsia" w:eastAsia="仿宋_GB2312"/>
          <w:b w:val="0"/>
          <w:bCs w:val="0"/>
          <w:color w:val="auto"/>
          <w:sz w:val="30"/>
          <w:szCs w:val="30"/>
        </w:rPr>
        <w:t>、混合式、多师协同</w:t>
      </w:r>
      <w:r>
        <w:rPr>
          <w:rFonts w:hint="eastAsia" w:eastAsia="仿宋_GB2312"/>
          <w:sz w:val="30"/>
          <w:szCs w:val="30"/>
        </w:rPr>
        <w:t>等方式开展教学实践。</w:t>
      </w:r>
    </w:p>
    <w:p w14:paraId="1AAC1F91">
      <w:pPr>
        <w:numPr>
          <w:ilvl w:val="-1"/>
          <w:numId w:val="0"/>
        </w:numPr>
        <w:adjustRightInd w:val="0"/>
        <w:snapToGrid w:val="0"/>
        <w:spacing w:line="560" w:lineRule="exact"/>
        <w:ind w:left="420" w:leftChars="200" w:firstLine="0" w:firstLineChars="0"/>
        <w:textAlignment w:val="baseline"/>
        <w:rPr>
          <w:rFonts w:hint="eastAsia" w:eastAsia="仿宋_GB2312"/>
          <w:b/>
          <w:bCs/>
          <w:sz w:val="30"/>
          <w:szCs w:val="30"/>
          <w:lang w:val="en-US" w:eastAsia="zh-CN"/>
        </w:rPr>
      </w:pPr>
      <w:r>
        <w:rPr>
          <w:rFonts w:hint="eastAsia" w:eastAsia="仿宋_GB2312"/>
          <w:b/>
          <w:bCs/>
          <w:sz w:val="30"/>
          <w:szCs w:val="30"/>
          <w:lang w:val="en-US" w:eastAsia="zh-CN"/>
        </w:rPr>
        <w:t>（二）分类要求</w:t>
      </w:r>
    </w:p>
    <w:p w14:paraId="0FB504FA">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sz w:val="30"/>
          <w:szCs w:val="30"/>
          <w:highlight w:val="none"/>
          <w:lang w:eastAsia="zh-CN"/>
        </w:rPr>
      </w:pPr>
      <w:r>
        <w:rPr>
          <w:rFonts w:hint="default" w:ascii="Times New Roman" w:hAnsi="Times New Roman" w:eastAsia="仿宋_GB2312" w:cs="Times New Roman"/>
          <w:kern w:val="0"/>
          <w:sz w:val="30"/>
          <w:szCs w:val="30"/>
          <w:lang w:val="en-US" w:eastAsia="zh-CN"/>
        </w:rPr>
        <w:t>本次活动征集的</w:t>
      </w:r>
      <w:r>
        <w:rPr>
          <w:rFonts w:hint="eastAsia" w:ascii="仿宋_GB2312" w:eastAsia="仿宋_GB2312"/>
          <w:b w:val="0"/>
          <w:bCs w:val="0"/>
          <w:sz w:val="30"/>
          <w:szCs w:val="30"/>
          <w:highlight w:val="none"/>
        </w:rPr>
        <w:t>融合创新应用教学案例</w:t>
      </w:r>
      <w:r>
        <w:rPr>
          <w:rFonts w:hint="default" w:ascii="Times New Roman" w:hAnsi="Times New Roman" w:eastAsia="仿宋_GB2312" w:cs="Times New Roman"/>
          <w:b w:val="0"/>
          <w:bCs w:val="0"/>
          <w:kern w:val="0"/>
          <w:sz w:val="30"/>
          <w:szCs w:val="30"/>
          <w:lang w:eastAsia="zh-CN"/>
        </w:rPr>
        <w:t>分为</w:t>
      </w:r>
      <w:r>
        <w:rPr>
          <w:rFonts w:hint="default" w:ascii="Times New Roman" w:hAnsi="Times New Roman" w:eastAsia="仿宋_GB2312" w:cs="Times New Roman"/>
          <w:b w:val="0"/>
          <w:bCs w:val="0"/>
          <w:kern w:val="0"/>
          <w:sz w:val="30"/>
          <w:szCs w:val="30"/>
          <w:lang w:val="en-US" w:eastAsia="zh-CN"/>
        </w:rPr>
        <w:t>以下</w:t>
      </w:r>
      <w:r>
        <w:rPr>
          <w:rFonts w:hint="eastAsia" w:eastAsia="仿宋_GB2312" w:cs="Times New Roman"/>
          <w:b w:val="0"/>
          <w:bCs w:val="0"/>
          <w:kern w:val="0"/>
          <w:sz w:val="30"/>
          <w:szCs w:val="30"/>
          <w:lang w:val="en-US" w:eastAsia="zh-CN"/>
        </w:rPr>
        <w:t>三</w:t>
      </w:r>
      <w:r>
        <w:rPr>
          <w:rFonts w:hint="default" w:ascii="Times New Roman" w:hAnsi="Times New Roman" w:eastAsia="仿宋_GB2312" w:cs="Times New Roman"/>
          <w:b w:val="0"/>
          <w:bCs w:val="0"/>
          <w:kern w:val="0"/>
          <w:sz w:val="30"/>
          <w:szCs w:val="30"/>
          <w:lang w:val="en-US" w:eastAsia="zh-CN"/>
        </w:rPr>
        <w:t>类</w:t>
      </w:r>
      <w:r>
        <w:rPr>
          <w:rFonts w:hint="eastAsia" w:ascii="仿宋_GB2312" w:eastAsia="仿宋_GB2312"/>
          <w:b w:val="0"/>
          <w:bCs w:val="0"/>
          <w:sz w:val="30"/>
          <w:szCs w:val="30"/>
          <w:highlight w:val="none"/>
          <w:lang w:eastAsia="zh-CN"/>
        </w:rPr>
        <w:t>：</w:t>
      </w:r>
    </w:p>
    <w:p w14:paraId="38B84C83">
      <w:pPr>
        <w:pStyle w:val="2"/>
        <w:ind w:left="0" w:leftChars="0" w:firstLine="602" w:firstLineChars="200"/>
        <w:rPr>
          <w:rFonts w:hint="eastAsia" w:ascii="仿宋_GB2312" w:hAnsi="Times New Roman" w:eastAsia="仿宋_GB2312" w:cs="Times New Roman"/>
          <w:b w:val="0"/>
          <w:bCs w:val="0"/>
          <w:kern w:val="2"/>
          <w:sz w:val="30"/>
          <w:szCs w:val="30"/>
          <w:highlight w:val="none"/>
          <w:lang w:val="en-US" w:eastAsia="zh-CN" w:bidi="ar-SA"/>
        </w:rPr>
      </w:pPr>
      <w:r>
        <w:rPr>
          <w:rFonts w:hint="eastAsia" w:ascii="仿宋_GB2312" w:eastAsia="仿宋_GB2312"/>
          <w:b/>
          <w:bCs/>
          <w:sz w:val="30"/>
          <w:szCs w:val="30"/>
          <w:highlight w:val="none"/>
          <w:lang w:val="en-US" w:eastAsia="zh-CN"/>
        </w:rPr>
        <w:t>一类教学案例</w:t>
      </w:r>
      <w:r>
        <w:rPr>
          <w:rFonts w:hint="eastAsia" w:ascii="仿宋_GB2312" w:eastAsia="仿宋_GB2312"/>
          <w:b w:val="0"/>
          <w:bCs w:val="0"/>
          <w:sz w:val="30"/>
          <w:szCs w:val="30"/>
          <w:highlight w:val="none"/>
          <w:lang w:val="en-US" w:eastAsia="zh-CN"/>
        </w:rPr>
        <w:t>：</w:t>
      </w:r>
      <w:r>
        <w:rPr>
          <w:rFonts w:hint="eastAsia" w:ascii="仿宋_GB2312" w:hAnsi="Times New Roman" w:eastAsia="仿宋_GB2312" w:cs="Times New Roman"/>
          <w:b w:val="0"/>
          <w:bCs w:val="0"/>
          <w:kern w:val="2"/>
          <w:sz w:val="30"/>
          <w:szCs w:val="30"/>
          <w:highlight w:val="none"/>
          <w:lang w:val="en-US" w:eastAsia="zh-CN" w:bidi="ar-SA"/>
        </w:rPr>
        <w:t>是指在课前、课中、课后各教学环节中，均使用国家中小学智慧教育平台的教学工具和资源，实现教学全流程的数字化支持与优化。</w:t>
      </w:r>
    </w:p>
    <w:p w14:paraId="00C0F405">
      <w:pPr>
        <w:pStyle w:val="2"/>
        <w:pageBreakBefore w:val="0"/>
        <w:widowControl w:val="0"/>
        <w:kinsoku/>
        <w:wordWrap/>
        <w:overflowPunct/>
        <w:topLinePunct w:val="0"/>
        <w:autoSpaceDE/>
        <w:autoSpaceDN/>
        <w:bidi w:val="0"/>
        <w:spacing w:line="560" w:lineRule="exact"/>
        <w:ind w:left="0" w:leftChars="0" w:firstLine="602" w:firstLineChars="200"/>
        <w:textAlignment w:val="auto"/>
        <w:rPr>
          <w:rFonts w:hint="eastAsia" w:ascii="仿宋_GB2312" w:hAnsi="Times New Roman" w:eastAsia="仿宋_GB2312" w:cs="Times New Roman"/>
          <w:b w:val="0"/>
          <w:bCs w:val="0"/>
          <w:kern w:val="2"/>
          <w:sz w:val="30"/>
          <w:szCs w:val="30"/>
          <w:highlight w:val="none"/>
          <w:lang w:val="en-US" w:eastAsia="zh-CN" w:bidi="ar-SA"/>
        </w:rPr>
      </w:pPr>
      <w:r>
        <w:rPr>
          <w:rFonts w:hint="eastAsia" w:ascii="仿宋_GB2312" w:eastAsia="仿宋_GB2312"/>
          <w:b/>
          <w:bCs/>
          <w:sz w:val="30"/>
          <w:szCs w:val="30"/>
          <w:highlight w:val="none"/>
          <w:lang w:val="en-US" w:eastAsia="zh-CN"/>
        </w:rPr>
        <w:t>二类教学案例</w:t>
      </w:r>
      <w:r>
        <w:rPr>
          <w:rFonts w:hint="eastAsia" w:ascii="仿宋_GB2312" w:eastAsia="仿宋_GB2312"/>
          <w:b w:val="0"/>
          <w:bCs w:val="0"/>
          <w:sz w:val="30"/>
          <w:szCs w:val="30"/>
          <w:highlight w:val="none"/>
          <w:lang w:val="en-US" w:eastAsia="zh-CN"/>
        </w:rPr>
        <w:t>：</w:t>
      </w:r>
      <w:r>
        <w:rPr>
          <w:rFonts w:hint="eastAsia" w:ascii="仿宋_GB2312" w:hAnsi="Times New Roman" w:eastAsia="仿宋_GB2312" w:cs="Times New Roman"/>
          <w:b w:val="0"/>
          <w:bCs w:val="0"/>
          <w:kern w:val="2"/>
          <w:sz w:val="30"/>
          <w:szCs w:val="30"/>
          <w:highlight w:val="none"/>
          <w:lang w:val="en-US" w:eastAsia="zh-CN" w:bidi="ar-SA"/>
        </w:rPr>
        <w:t>是指在课前、课中、课后中的某一个或某几个环节，使用国家中小学智慧教育平台的教学工具和资源，辅助特定教学环节的实施与提升。</w:t>
      </w:r>
    </w:p>
    <w:p w14:paraId="5D299709">
      <w:pPr>
        <w:pageBreakBefore w:val="0"/>
        <w:widowControl w:val="0"/>
        <w:kinsoku/>
        <w:wordWrap/>
        <w:overflowPunct/>
        <w:topLinePunct w:val="0"/>
        <w:autoSpaceDE/>
        <w:autoSpaceDN/>
        <w:bidi w:val="0"/>
        <w:spacing w:line="560" w:lineRule="exact"/>
        <w:ind w:firstLineChars="200"/>
        <w:textAlignment w:val="auto"/>
        <w:rPr>
          <w:rFonts w:hint="eastAsia" w:eastAsia="仿宋_GB2312"/>
          <w:lang w:val="en-US" w:eastAsia="zh-CN"/>
        </w:rPr>
      </w:pPr>
      <w:r>
        <w:rPr>
          <w:rFonts w:hint="eastAsia"/>
          <w:lang w:val="en-US" w:eastAsia="zh-CN"/>
        </w:rPr>
        <w:t xml:space="preserve">  </w:t>
      </w:r>
      <w:r>
        <w:rPr>
          <w:rFonts w:hint="eastAsia" w:ascii="仿宋_GB2312" w:eastAsia="仿宋_GB2312"/>
          <w:b/>
          <w:bCs/>
          <w:sz w:val="30"/>
          <w:szCs w:val="30"/>
          <w:highlight w:val="none"/>
          <w:lang w:val="en-US" w:eastAsia="zh-CN"/>
        </w:rPr>
        <w:t>三类教学案例</w:t>
      </w:r>
      <w:r>
        <w:rPr>
          <w:rFonts w:hint="eastAsia" w:ascii="仿宋_GB2312" w:eastAsia="仿宋_GB2312"/>
          <w:b w:val="0"/>
          <w:bCs w:val="0"/>
          <w:sz w:val="30"/>
          <w:szCs w:val="30"/>
          <w:highlight w:val="none"/>
          <w:lang w:val="en-US" w:eastAsia="zh-CN"/>
        </w:rPr>
        <w:t>：</w:t>
      </w:r>
      <w:r>
        <w:rPr>
          <w:rFonts w:hint="eastAsia" w:ascii="仿宋_GB2312" w:hAnsi="Times New Roman" w:eastAsia="仿宋_GB2312" w:cs="Times New Roman"/>
          <w:b w:val="0"/>
          <w:bCs w:val="0"/>
          <w:kern w:val="2"/>
          <w:sz w:val="30"/>
          <w:szCs w:val="30"/>
          <w:highlight w:val="none"/>
          <w:lang w:val="en-US" w:eastAsia="zh-CN" w:bidi="ar-SA"/>
        </w:rPr>
        <w:t>是指使用</w:t>
      </w:r>
      <w:r>
        <w:rPr>
          <w:rFonts w:hint="eastAsia" w:ascii="仿宋_GB2312" w:eastAsia="仿宋_GB2312" w:cs="Times New Roman"/>
          <w:b w:val="0"/>
          <w:bCs w:val="0"/>
          <w:kern w:val="2"/>
          <w:sz w:val="30"/>
          <w:szCs w:val="30"/>
          <w:highlight w:val="none"/>
          <w:lang w:val="en-US" w:eastAsia="zh-CN" w:bidi="ar-SA"/>
        </w:rPr>
        <w:t>除</w:t>
      </w:r>
      <w:r>
        <w:rPr>
          <w:rFonts w:hint="eastAsia" w:ascii="仿宋_GB2312" w:hAnsi="Times New Roman" w:eastAsia="仿宋_GB2312" w:cs="Times New Roman"/>
          <w:b w:val="0"/>
          <w:bCs w:val="0"/>
          <w:kern w:val="2"/>
          <w:sz w:val="30"/>
          <w:szCs w:val="30"/>
          <w:highlight w:val="none"/>
          <w:lang w:val="en-US" w:eastAsia="zh-CN" w:bidi="ar-SA"/>
        </w:rPr>
        <w:t>国家中小学智慧教育平台</w:t>
      </w:r>
      <w:r>
        <w:rPr>
          <w:rFonts w:hint="eastAsia" w:ascii="仿宋_GB2312" w:eastAsia="仿宋_GB2312" w:cs="Times New Roman"/>
          <w:b w:val="0"/>
          <w:bCs w:val="0"/>
          <w:kern w:val="2"/>
          <w:sz w:val="30"/>
          <w:szCs w:val="30"/>
          <w:highlight w:val="none"/>
          <w:lang w:val="en-US" w:eastAsia="zh-CN" w:bidi="ar-SA"/>
        </w:rPr>
        <w:t>以外</w:t>
      </w:r>
      <w:r>
        <w:rPr>
          <w:rFonts w:hint="eastAsia" w:ascii="仿宋_GB2312" w:hAnsi="Times New Roman" w:eastAsia="仿宋_GB2312" w:cs="Times New Roman"/>
          <w:b w:val="0"/>
          <w:bCs w:val="0"/>
          <w:kern w:val="2"/>
          <w:sz w:val="30"/>
          <w:szCs w:val="30"/>
          <w:highlight w:val="none"/>
          <w:lang w:val="en-US" w:eastAsia="zh-CN" w:bidi="ar-SA"/>
        </w:rPr>
        <w:t>的教学工具和资源</w:t>
      </w:r>
      <w:r>
        <w:rPr>
          <w:rFonts w:hint="eastAsia" w:ascii="仿宋_GB2312" w:eastAsia="仿宋_GB2312" w:cs="Times New Roman"/>
          <w:b w:val="0"/>
          <w:bCs w:val="0"/>
          <w:kern w:val="2"/>
          <w:sz w:val="30"/>
          <w:szCs w:val="30"/>
          <w:highlight w:val="none"/>
          <w:lang w:val="en-US" w:eastAsia="zh-CN" w:bidi="ar-SA"/>
        </w:rPr>
        <w:t>平台开展教学的</w:t>
      </w:r>
      <w:r>
        <w:rPr>
          <w:rFonts w:hint="eastAsia" w:ascii="仿宋_GB2312" w:eastAsia="仿宋_GB2312"/>
          <w:b w:val="0"/>
          <w:bCs w:val="0"/>
          <w:sz w:val="30"/>
          <w:szCs w:val="30"/>
          <w:highlight w:val="none"/>
        </w:rPr>
        <w:t>融合创新应用教学案例</w:t>
      </w:r>
      <w:r>
        <w:rPr>
          <w:rFonts w:hint="eastAsia" w:ascii="仿宋_GB2312" w:eastAsia="仿宋_GB2312"/>
          <w:b w:val="0"/>
          <w:bCs w:val="0"/>
          <w:sz w:val="30"/>
          <w:szCs w:val="30"/>
          <w:highlight w:val="none"/>
          <w:lang w:eastAsia="zh-CN"/>
        </w:rPr>
        <w:t>。</w:t>
      </w:r>
    </w:p>
    <w:p w14:paraId="657312A4">
      <w:pPr>
        <w:adjustRightInd w:val="0"/>
        <w:snapToGrid w:val="0"/>
        <w:spacing w:line="560" w:lineRule="exact"/>
        <w:ind w:firstLine="640" w:firstLineChars="200"/>
        <w:rPr>
          <w:rFonts w:eastAsia="黑体"/>
          <w:sz w:val="32"/>
          <w:szCs w:val="32"/>
        </w:rPr>
      </w:pPr>
      <w:r>
        <w:rPr>
          <w:rFonts w:hint="eastAsia" w:eastAsia="黑体"/>
          <w:sz w:val="32"/>
          <w:szCs w:val="32"/>
          <w:lang w:val="en-US" w:eastAsia="zh-CN"/>
        </w:rPr>
        <w:t>三</w:t>
      </w:r>
      <w:r>
        <w:rPr>
          <w:rFonts w:hint="eastAsia" w:eastAsia="黑体"/>
          <w:sz w:val="32"/>
          <w:szCs w:val="32"/>
        </w:rPr>
        <w:t>、</w:t>
      </w:r>
      <w:r>
        <w:rPr>
          <w:rFonts w:hint="eastAsia" w:eastAsia="黑体"/>
          <w:kern w:val="0"/>
          <w:sz w:val="32"/>
          <w:szCs w:val="32"/>
          <w:lang w:val="en-US" w:eastAsia="zh-CN"/>
        </w:rPr>
        <w:t>项目材料</w:t>
      </w:r>
      <w:r>
        <w:rPr>
          <w:rFonts w:hint="eastAsia" w:eastAsia="黑体"/>
          <w:sz w:val="32"/>
          <w:szCs w:val="32"/>
        </w:rPr>
        <w:t>制作要求</w:t>
      </w:r>
    </w:p>
    <w:p w14:paraId="76252A3C">
      <w:pPr>
        <w:adjustRightInd w:val="0"/>
        <w:snapToGrid w:val="0"/>
        <w:spacing w:line="560" w:lineRule="exact"/>
        <w:ind w:firstLine="602" w:firstLineChars="200"/>
        <w:rPr>
          <w:rFonts w:eastAsia="仿宋_GB2312"/>
          <w:sz w:val="30"/>
          <w:szCs w:val="30"/>
        </w:rPr>
      </w:pPr>
      <w:r>
        <w:rPr>
          <w:rFonts w:eastAsia="仿宋_GB2312"/>
          <w:b/>
          <w:bCs/>
          <w:sz w:val="30"/>
          <w:szCs w:val="30"/>
        </w:rPr>
        <w:t>1.</w:t>
      </w:r>
      <w:r>
        <w:rPr>
          <w:rFonts w:hint="eastAsia" w:eastAsia="仿宋_GB2312"/>
          <w:b/>
          <w:bCs/>
          <w:sz w:val="30"/>
          <w:szCs w:val="30"/>
        </w:rPr>
        <w:t>案例介绍文档：</w:t>
      </w:r>
      <w:r>
        <w:rPr>
          <w:rFonts w:hint="eastAsia" w:eastAsia="仿宋_GB2312"/>
          <w:sz w:val="30"/>
          <w:szCs w:val="30"/>
        </w:rPr>
        <w:t>内容包括教学环境设施与课程建设、教学应用情况、教学效果、教学成果、推广情况等。</w:t>
      </w:r>
    </w:p>
    <w:p w14:paraId="7A8CCB01">
      <w:pPr>
        <w:adjustRightInd w:val="0"/>
        <w:snapToGrid w:val="0"/>
        <w:spacing w:line="560" w:lineRule="exact"/>
        <w:ind w:firstLine="602" w:firstLineChars="200"/>
        <w:rPr>
          <w:rFonts w:eastAsia="仿宋_GB2312"/>
          <w:sz w:val="32"/>
          <w:szCs w:val="32"/>
          <w:highlight w:val="cyan"/>
        </w:rPr>
      </w:pPr>
      <w:r>
        <w:rPr>
          <w:rFonts w:eastAsia="仿宋_GB2312"/>
          <w:b/>
          <w:bCs/>
          <w:sz w:val="30"/>
          <w:szCs w:val="30"/>
        </w:rPr>
        <w:t>2.</w:t>
      </w:r>
      <w:r>
        <w:rPr>
          <w:rFonts w:hint="eastAsia" w:eastAsia="仿宋_GB2312"/>
          <w:b/>
          <w:bCs/>
          <w:sz w:val="30"/>
          <w:szCs w:val="30"/>
          <w:lang w:val="en-US" w:eastAsia="zh-CN"/>
        </w:rPr>
        <w:t>教学</w:t>
      </w:r>
      <w:r>
        <w:rPr>
          <w:rFonts w:hint="eastAsia" w:eastAsia="仿宋_GB2312"/>
          <w:b/>
          <w:bCs/>
          <w:sz w:val="30"/>
          <w:szCs w:val="30"/>
        </w:rPr>
        <w:t>设计方案：</w:t>
      </w:r>
      <w:r>
        <w:rPr>
          <w:rFonts w:hint="eastAsia" w:eastAsia="仿宋_GB2312"/>
          <w:sz w:val="30"/>
          <w:szCs w:val="30"/>
        </w:rPr>
        <w:t>针对一个能够体现教师将信息技术作为师生的教与学的认知工具、融于教与学的过程，且教学成效明显的教学活动</w:t>
      </w:r>
      <w:r>
        <w:rPr>
          <w:rFonts w:hint="eastAsia" w:eastAsia="仿宋_GB2312"/>
          <w:sz w:val="30"/>
          <w:szCs w:val="30"/>
          <w:lang w:eastAsia="zh-CN"/>
        </w:rPr>
        <w:t>（</w:t>
      </w:r>
      <w:r>
        <w:rPr>
          <w:rFonts w:hint="eastAsia" w:eastAsia="仿宋_GB2312"/>
          <w:sz w:val="30"/>
          <w:szCs w:val="30"/>
        </w:rPr>
        <w:t>一个或多个课时</w:t>
      </w:r>
      <w:r>
        <w:rPr>
          <w:rFonts w:hint="eastAsia" w:eastAsia="仿宋_GB2312"/>
          <w:sz w:val="30"/>
          <w:szCs w:val="30"/>
          <w:lang w:eastAsia="zh-CN"/>
        </w:rPr>
        <w:t>）</w:t>
      </w:r>
      <w:r>
        <w:rPr>
          <w:rFonts w:hint="eastAsia" w:eastAsia="仿宋_GB2312"/>
          <w:sz w:val="30"/>
          <w:szCs w:val="30"/>
        </w:rPr>
        <w:t>案例，撰写设计方案（</w:t>
      </w:r>
      <w:r>
        <w:rPr>
          <w:rFonts w:hint="eastAsia" w:eastAsia="仿宋_GB2312"/>
          <w:sz w:val="30"/>
          <w:szCs w:val="30"/>
          <w:lang w:val="en-US" w:eastAsia="zh-CN"/>
        </w:rPr>
        <w:t>中小学建议采用</w:t>
      </w:r>
      <w:r>
        <w:rPr>
          <w:rFonts w:hint="eastAsia" w:eastAsia="仿宋_GB2312"/>
          <w:sz w:val="30"/>
          <w:szCs w:val="30"/>
        </w:rPr>
        <w:t>本文附表《融合创新应用教学案例</w:t>
      </w:r>
      <w:r>
        <w:rPr>
          <w:rFonts w:hint="eastAsia" w:eastAsia="仿宋_GB2312"/>
          <w:sz w:val="30"/>
          <w:szCs w:val="30"/>
          <w:lang w:val="en-US" w:eastAsia="zh-CN"/>
        </w:rPr>
        <w:t>教学</w:t>
      </w:r>
      <w:r>
        <w:rPr>
          <w:rFonts w:hint="eastAsia" w:eastAsia="仿宋_GB2312"/>
          <w:sz w:val="30"/>
          <w:szCs w:val="30"/>
        </w:rPr>
        <w:t>设计方案</w:t>
      </w:r>
      <w:r>
        <w:rPr>
          <w:rFonts w:hint="eastAsia" w:eastAsia="仿宋_GB2312"/>
          <w:sz w:val="30"/>
          <w:szCs w:val="30"/>
          <w:lang w:eastAsia="zh-CN"/>
        </w:rPr>
        <w:t>（</w:t>
      </w:r>
      <w:r>
        <w:rPr>
          <w:rFonts w:hint="eastAsia" w:eastAsia="仿宋_GB2312"/>
          <w:sz w:val="30"/>
          <w:szCs w:val="30"/>
          <w:lang w:val="en-US" w:eastAsia="zh-CN"/>
        </w:rPr>
        <w:t>模板）</w:t>
      </w:r>
      <w:bookmarkStart w:id="0" w:name="_GoBack"/>
      <w:bookmarkEnd w:id="0"/>
      <w:r>
        <w:rPr>
          <w:rFonts w:hint="eastAsia" w:eastAsia="仿宋_GB2312"/>
          <w:sz w:val="30"/>
          <w:szCs w:val="30"/>
        </w:rPr>
        <w:t>》</w:t>
      </w:r>
      <w:r>
        <w:rPr>
          <w:rFonts w:hint="eastAsia" w:eastAsia="仿宋_GB2312"/>
          <w:sz w:val="30"/>
          <w:szCs w:val="30"/>
          <w:lang w:eastAsia="zh-CN"/>
        </w:rPr>
        <w:t>，</w:t>
      </w:r>
      <w:r>
        <w:rPr>
          <w:rFonts w:hint="eastAsia" w:eastAsia="仿宋_GB2312"/>
          <w:sz w:val="30"/>
          <w:szCs w:val="30"/>
          <w:lang w:val="en-US" w:eastAsia="zh-CN"/>
        </w:rPr>
        <w:t>学前教育和特殊教育可自定模板</w:t>
      </w:r>
      <w:r>
        <w:rPr>
          <w:rFonts w:hint="eastAsia" w:eastAsia="仿宋_GB2312"/>
          <w:sz w:val="30"/>
          <w:szCs w:val="30"/>
        </w:rPr>
        <w:t>）。要求语言精练、内容准确，图文并茂，附上表格、链接等材料。</w:t>
      </w:r>
    </w:p>
    <w:p w14:paraId="0B903D53">
      <w:pPr>
        <w:adjustRightInd w:val="0"/>
        <w:snapToGrid w:val="0"/>
        <w:spacing w:line="560" w:lineRule="exact"/>
        <w:ind w:firstLine="602" w:firstLineChars="200"/>
        <w:rPr>
          <w:rFonts w:eastAsia="仿宋_GB2312"/>
          <w:sz w:val="30"/>
          <w:szCs w:val="30"/>
        </w:rPr>
      </w:pPr>
      <w:r>
        <w:rPr>
          <w:rFonts w:eastAsia="仿宋_GB2312"/>
          <w:b/>
          <w:bCs/>
          <w:sz w:val="30"/>
          <w:szCs w:val="30"/>
        </w:rPr>
        <w:t>3.</w:t>
      </w:r>
      <w:r>
        <w:rPr>
          <w:rFonts w:hint="eastAsia" w:eastAsia="仿宋_GB2312"/>
          <w:b/>
          <w:bCs/>
          <w:sz w:val="30"/>
          <w:szCs w:val="30"/>
        </w:rPr>
        <w:t>教学活动视频：</w:t>
      </w:r>
      <w:r>
        <w:rPr>
          <w:rFonts w:hint="eastAsia" w:eastAsia="仿宋_GB2312"/>
          <w:sz w:val="30"/>
          <w:szCs w:val="30"/>
        </w:rPr>
        <w:t>反映创新教育教学情况，针对案例特点，提供合适的教学活动录像，可以是具有代表性的单节课堂教学实录，也可以是围绕一个教学专题的多节课课堂教学片段剪辑而成的专题介绍视频。</w:t>
      </w:r>
    </w:p>
    <w:p w14:paraId="7460551A">
      <w:pPr>
        <w:adjustRightInd w:val="0"/>
        <w:snapToGrid w:val="0"/>
        <w:spacing w:line="560" w:lineRule="exact"/>
        <w:ind w:firstLine="600" w:firstLineChars="200"/>
        <w:rPr>
          <w:rFonts w:eastAsia="仿宋_GB2312"/>
          <w:sz w:val="30"/>
          <w:szCs w:val="30"/>
        </w:rPr>
      </w:pPr>
      <w:r>
        <w:rPr>
          <w:rFonts w:hint="eastAsia" w:eastAsia="仿宋_GB2312"/>
          <w:sz w:val="30"/>
          <w:szCs w:val="30"/>
        </w:rPr>
        <w:t>视频文件格式为</w:t>
      </w:r>
      <w:r>
        <w:rPr>
          <w:rFonts w:eastAsia="仿宋_GB2312"/>
          <w:sz w:val="30"/>
          <w:szCs w:val="30"/>
        </w:rPr>
        <w:t>MP4</w:t>
      </w:r>
      <w:r>
        <w:rPr>
          <w:rFonts w:hint="eastAsia" w:eastAsia="仿宋_GB2312"/>
          <w:sz w:val="30"/>
          <w:szCs w:val="30"/>
        </w:rPr>
        <w:t>（</w:t>
      </w:r>
      <w:r>
        <w:rPr>
          <w:rFonts w:hint="eastAsia" w:ascii="仿宋_GB2312" w:hAnsi="仿宋_GB2312" w:eastAsia="仿宋_GB2312" w:cs="仿宋_GB2312"/>
          <w:b w:val="0"/>
          <w:bCs w:val="0"/>
          <w:color w:val="auto"/>
          <w:sz w:val="30"/>
          <w:szCs w:val="30"/>
        </w:rPr>
        <w:t>H.264编码格式，非H.264编码格式可能会导致无法正常播放</w:t>
      </w:r>
      <w:r>
        <w:rPr>
          <w:rFonts w:hint="eastAsia" w:eastAsia="仿宋_GB2312"/>
          <w:sz w:val="30"/>
          <w:szCs w:val="30"/>
        </w:rPr>
        <w:t>），视频</w:t>
      </w:r>
      <w:r>
        <w:rPr>
          <w:rFonts w:hint="eastAsia" w:eastAsia="仿宋_GB2312"/>
          <w:kern w:val="0"/>
          <w:sz w:val="30"/>
          <w:szCs w:val="30"/>
        </w:rPr>
        <w:t>分辨率</w:t>
      </w:r>
      <w:r>
        <w:rPr>
          <w:rFonts w:hint="eastAsia" w:eastAsia="仿宋_GB2312"/>
          <w:sz w:val="30"/>
          <w:szCs w:val="30"/>
        </w:rPr>
        <w:t>不得低于</w:t>
      </w:r>
      <w:r>
        <w:rPr>
          <w:rFonts w:hint="eastAsia" w:eastAsia="仿宋_GB2312"/>
          <w:sz w:val="30"/>
          <w:szCs w:val="30"/>
          <w:lang w:val="en-US" w:eastAsia="zh-CN"/>
        </w:rPr>
        <w:t>1280*</w:t>
      </w:r>
      <w:r>
        <w:rPr>
          <w:rFonts w:eastAsia="仿宋_GB2312"/>
          <w:sz w:val="30"/>
          <w:szCs w:val="30"/>
        </w:rPr>
        <w:t>720p</w:t>
      </w:r>
      <w:r>
        <w:rPr>
          <w:rFonts w:hint="eastAsia" w:eastAsia="仿宋_GB2312"/>
          <w:sz w:val="30"/>
          <w:szCs w:val="30"/>
        </w:rPr>
        <w:t>，时间总计不超过</w:t>
      </w:r>
      <w:r>
        <w:rPr>
          <w:rFonts w:eastAsia="仿宋_GB2312"/>
          <w:sz w:val="30"/>
          <w:szCs w:val="30"/>
        </w:rPr>
        <w:t>50</w:t>
      </w:r>
      <w:r>
        <w:rPr>
          <w:rFonts w:hint="eastAsia" w:eastAsia="仿宋_GB2312"/>
          <w:sz w:val="30"/>
          <w:szCs w:val="30"/>
        </w:rPr>
        <w:t>分钟，</w:t>
      </w:r>
      <w:r>
        <w:rPr>
          <w:rFonts w:hint="eastAsia" w:eastAsia="仿宋_GB2312"/>
          <w:sz w:val="30"/>
          <w:szCs w:val="30"/>
          <w:lang w:val="en-US" w:eastAsia="zh-CN"/>
        </w:rPr>
        <w:t>每个视频</w:t>
      </w:r>
      <w:r>
        <w:rPr>
          <w:rFonts w:hint="eastAsia" w:eastAsia="仿宋_GB2312"/>
          <w:sz w:val="30"/>
          <w:szCs w:val="30"/>
        </w:rPr>
        <w:t>文件大小控制在</w:t>
      </w:r>
      <w:r>
        <w:rPr>
          <w:rFonts w:eastAsia="仿宋_GB2312"/>
          <w:sz w:val="30"/>
          <w:szCs w:val="30"/>
        </w:rPr>
        <w:t>500MB</w:t>
      </w:r>
      <w:r>
        <w:rPr>
          <w:rFonts w:hint="eastAsia" w:eastAsia="仿宋_GB2312"/>
          <w:sz w:val="30"/>
          <w:szCs w:val="30"/>
        </w:rPr>
        <w:t>内。视频图像稳定、画面和声音清晰、过渡自然。</w:t>
      </w:r>
    </w:p>
    <w:p w14:paraId="18A6A6A8">
      <w:pPr>
        <w:adjustRightInd w:val="0"/>
        <w:snapToGrid w:val="0"/>
        <w:spacing w:line="560" w:lineRule="exact"/>
        <w:ind w:firstLine="600" w:firstLineChars="200"/>
        <w:rPr>
          <w:rFonts w:eastAsia="仿宋_GB2312"/>
          <w:sz w:val="30"/>
          <w:szCs w:val="30"/>
        </w:rPr>
      </w:pPr>
      <w:r>
        <w:rPr>
          <w:rFonts w:hint="eastAsia" w:eastAsia="仿宋_GB2312"/>
          <w:sz w:val="30"/>
          <w:szCs w:val="30"/>
        </w:rPr>
        <w:t>视频文件的片头时长为</w:t>
      </w:r>
      <w:r>
        <w:rPr>
          <w:rFonts w:eastAsia="仿宋_GB2312"/>
          <w:sz w:val="30"/>
          <w:szCs w:val="30"/>
        </w:rPr>
        <w:t>5</w:t>
      </w:r>
      <w:r>
        <w:rPr>
          <w:rFonts w:hint="eastAsia" w:eastAsia="仿宋_GB2312"/>
          <w:sz w:val="30"/>
          <w:szCs w:val="30"/>
        </w:rPr>
        <w:t>秒，包含案例名称、学段、学科、年级、作者姓名和所在单位等信息。视频片头后要有</w:t>
      </w:r>
      <w:r>
        <w:rPr>
          <w:rFonts w:eastAsia="仿宋_GB2312"/>
          <w:sz w:val="30"/>
          <w:szCs w:val="30"/>
        </w:rPr>
        <w:t>3</w:t>
      </w:r>
      <w:r>
        <w:rPr>
          <w:rFonts w:hint="eastAsia" w:eastAsia="仿宋_GB2312"/>
          <w:sz w:val="30"/>
          <w:szCs w:val="30"/>
        </w:rPr>
        <w:t>分钟教师教学信息介绍，包括教学目标与内容、教学模式与新媒体新技术的应用情况、特色亮点等。教学活动的主要教学环节或者介绍主要特色时，应有字幕或文字提示。</w:t>
      </w:r>
    </w:p>
    <w:p w14:paraId="0C252191">
      <w:pPr>
        <w:numPr>
          <w:ilvl w:val="255"/>
          <w:numId w:val="0"/>
        </w:numPr>
        <w:adjustRightInd w:val="0"/>
        <w:snapToGrid w:val="0"/>
        <w:spacing w:line="560" w:lineRule="exact"/>
        <w:ind w:firstLine="602" w:firstLineChars="200"/>
        <w:rPr>
          <w:rFonts w:eastAsia="仿宋_GB2312"/>
          <w:sz w:val="30"/>
          <w:szCs w:val="30"/>
        </w:rPr>
      </w:pPr>
      <w:r>
        <w:rPr>
          <w:rFonts w:eastAsia="仿宋_GB2312"/>
          <w:b/>
          <w:bCs/>
          <w:sz w:val="30"/>
          <w:szCs w:val="30"/>
        </w:rPr>
        <w:t>4.</w:t>
      </w:r>
      <w:r>
        <w:rPr>
          <w:rFonts w:hint="eastAsia" w:eastAsia="仿宋_GB2312"/>
          <w:b/>
          <w:bCs/>
          <w:sz w:val="30"/>
          <w:szCs w:val="30"/>
        </w:rPr>
        <w:t>相关材料：</w:t>
      </w:r>
      <w:r>
        <w:rPr>
          <w:rFonts w:hint="eastAsia" w:eastAsia="仿宋_GB2312"/>
          <w:sz w:val="30"/>
          <w:szCs w:val="30"/>
        </w:rPr>
        <w:t>与本案例的建设及具体实践应用密切相关的辅助性资料，可包括教学反思、课程资源、活动照片、学生作品等。</w:t>
      </w:r>
    </w:p>
    <w:p w14:paraId="24EF91D0">
      <w:pPr>
        <w:adjustRightInd w:val="0"/>
        <w:snapToGrid w:val="0"/>
        <w:spacing w:line="560" w:lineRule="exact"/>
        <w:ind w:firstLine="600" w:firstLineChars="200"/>
        <w:rPr>
          <w:rFonts w:eastAsia="仿宋_GB2312"/>
          <w:sz w:val="30"/>
          <w:szCs w:val="30"/>
        </w:rPr>
      </w:pPr>
      <w:r>
        <w:rPr>
          <w:rFonts w:hint="eastAsia" w:eastAsia="仿宋_GB2312"/>
          <w:sz w:val="30"/>
          <w:szCs w:val="30"/>
        </w:rPr>
        <w:t>如本案例为教师个人应用国家数字教育资源公共服务体系内的网络学习空间所开展的教学案例，需同时提供案例介绍的</w:t>
      </w:r>
      <w:r>
        <w:rPr>
          <w:rFonts w:eastAsia="仿宋_GB2312"/>
          <w:sz w:val="30"/>
          <w:szCs w:val="30"/>
        </w:rPr>
        <w:t>PPT</w:t>
      </w:r>
      <w:r>
        <w:rPr>
          <w:rFonts w:hint="eastAsia" w:eastAsia="仿宋_GB2312"/>
          <w:sz w:val="30"/>
          <w:szCs w:val="30"/>
        </w:rPr>
        <w:t>文档、空间访问说明文档（含空间网址）等。</w:t>
      </w:r>
    </w:p>
    <w:p w14:paraId="708E2658">
      <w:pPr>
        <w:numPr>
          <w:ilvl w:val="255"/>
          <w:numId w:val="0"/>
        </w:numPr>
        <w:adjustRightInd w:val="0"/>
        <w:snapToGrid w:val="0"/>
        <w:spacing w:line="560" w:lineRule="exact"/>
        <w:ind w:firstLine="602" w:firstLineChars="200"/>
        <w:rPr>
          <w:rFonts w:eastAsia="仿宋_GB2312"/>
          <w:kern w:val="0"/>
          <w:sz w:val="30"/>
          <w:szCs w:val="30"/>
        </w:rPr>
      </w:pPr>
      <w:r>
        <w:rPr>
          <w:rFonts w:eastAsia="仿宋_GB2312"/>
          <w:b/>
          <w:bCs/>
          <w:sz w:val="30"/>
          <w:szCs w:val="30"/>
        </w:rPr>
        <w:t>5.</w:t>
      </w:r>
      <w:r>
        <w:rPr>
          <w:rFonts w:hint="eastAsia" w:eastAsia="仿宋_GB2312"/>
          <w:b/>
          <w:bCs/>
          <w:sz w:val="30"/>
          <w:szCs w:val="30"/>
        </w:rPr>
        <w:t>作品截图：</w:t>
      </w:r>
      <w:r>
        <w:rPr>
          <w:rFonts w:hint="eastAsia" w:eastAsia="仿宋_GB2312"/>
          <w:kern w:val="0"/>
          <w:sz w:val="30"/>
          <w:szCs w:val="30"/>
        </w:rPr>
        <w:t>截取</w:t>
      </w:r>
      <w:r>
        <w:rPr>
          <w:rFonts w:hint="eastAsia" w:eastAsia="仿宋_GB2312"/>
          <w:sz w:val="30"/>
          <w:szCs w:val="30"/>
        </w:rPr>
        <w:t>视频片头或者视频</w:t>
      </w:r>
      <w:r>
        <w:rPr>
          <w:rFonts w:hint="eastAsia" w:eastAsia="仿宋_GB2312"/>
          <w:kern w:val="0"/>
          <w:sz w:val="30"/>
          <w:szCs w:val="30"/>
        </w:rPr>
        <w:t>中一个有代表性的画面作为作品截图，</w:t>
      </w:r>
      <w:r>
        <w:rPr>
          <w:rFonts w:eastAsia="仿宋_GB2312"/>
          <w:kern w:val="0"/>
          <w:sz w:val="30"/>
          <w:szCs w:val="30"/>
        </w:rPr>
        <w:t>要求图片像素为720 × 480px，</w:t>
      </w:r>
      <w:r>
        <w:rPr>
          <w:rFonts w:hint="eastAsia" w:eastAsia="仿宋_GB2312"/>
          <w:kern w:val="0"/>
          <w:sz w:val="30"/>
          <w:szCs w:val="30"/>
          <w:lang w:val="en-US" w:eastAsia="zh-CN"/>
        </w:rPr>
        <w:t>容量</w:t>
      </w:r>
      <w:r>
        <w:rPr>
          <w:rFonts w:eastAsia="仿宋_GB2312"/>
          <w:kern w:val="0"/>
          <w:sz w:val="30"/>
          <w:szCs w:val="30"/>
        </w:rPr>
        <w:t>大小为500KB以内。</w:t>
      </w:r>
    </w:p>
    <w:p w14:paraId="61ADB432">
      <w:pPr>
        <w:adjustRightInd w:val="0"/>
        <w:snapToGrid w:val="0"/>
        <w:spacing w:line="560" w:lineRule="exact"/>
        <w:ind w:firstLine="602" w:firstLineChars="200"/>
        <w:rPr>
          <w:rFonts w:eastAsia="仿宋_GB2312"/>
          <w:kern w:val="0"/>
          <w:sz w:val="30"/>
          <w:szCs w:val="30"/>
        </w:rPr>
      </w:pPr>
      <w:r>
        <w:rPr>
          <w:rFonts w:eastAsia="仿宋_GB2312"/>
          <w:b/>
          <w:bCs/>
          <w:kern w:val="0"/>
          <w:sz w:val="30"/>
          <w:szCs w:val="30"/>
        </w:rPr>
        <w:t>6.</w:t>
      </w:r>
      <w:r>
        <w:rPr>
          <w:rFonts w:hint="eastAsia" w:eastAsia="仿宋_GB2312"/>
          <w:b/>
          <w:bCs/>
          <w:kern w:val="0"/>
          <w:sz w:val="30"/>
          <w:szCs w:val="30"/>
        </w:rPr>
        <w:t>辐射推广情况说明：</w:t>
      </w:r>
      <w:r>
        <w:rPr>
          <w:rFonts w:hint="eastAsia" w:eastAsia="仿宋_GB2312"/>
          <w:kern w:val="0"/>
          <w:sz w:val="30"/>
          <w:szCs w:val="30"/>
        </w:rPr>
        <w:t>辐射推广类的“牵头作品”必须提交该作品的辐射推广情况说明文档，模板见附件</w:t>
      </w:r>
      <w:r>
        <w:rPr>
          <w:rFonts w:eastAsia="仿宋_GB2312"/>
          <w:kern w:val="0"/>
          <w:sz w:val="30"/>
          <w:szCs w:val="30"/>
        </w:rPr>
        <w:t>1-</w:t>
      </w:r>
      <w:r>
        <w:rPr>
          <w:rFonts w:hint="eastAsia" w:eastAsia="仿宋_GB2312"/>
          <w:kern w:val="0"/>
          <w:sz w:val="30"/>
          <w:szCs w:val="30"/>
          <w:lang w:val="en-US" w:eastAsia="zh-CN"/>
        </w:rPr>
        <w:t>11</w:t>
      </w:r>
      <w:r>
        <w:rPr>
          <w:rFonts w:hint="eastAsia" w:eastAsia="仿宋_GB2312"/>
          <w:kern w:val="0"/>
          <w:sz w:val="30"/>
          <w:szCs w:val="30"/>
        </w:rPr>
        <w:t>《辐射推广情况说明》。</w:t>
      </w:r>
    </w:p>
    <w:p w14:paraId="1202BAC1">
      <w:pPr>
        <w:adjustRightInd w:val="0"/>
        <w:snapToGrid w:val="0"/>
        <w:spacing w:line="560" w:lineRule="exact"/>
        <w:ind w:firstLine="640" w:firstLineChars="200"/>
        <w:rPr>
          <w:rFonts w:eastAsia="黑体"/>
          <w:kern w:val="0"/>
          <w:sz w:val="32"/>
          <w:szCs w:val="32"/>
        </w:rPr>
      </w:pPr>
      <w:r>
        <w:rPr>
          <w:rFonts w:hint="eastAsia" w:eastAsia="黑体"/>
          <w:sz w:val="32"/>
          <w:szCs w:val="32"/>
          <w:lang w:val="en-US" w:eastAsia="zh-CN"/>
        </w:rPr>
        <w:t>四</w:t>
      </w:r>
      <w:r>
        <w:rPr>
          <w:rFonts w:hint="eastAsia" w:eastAsia="黑体"/>
          <w:sz w:val="32"/>
          <w:szCs w:val="32"/>
        </w:rPr>
        <w:t>、报送材料清单及要求</w:t>
      </w:r>
    </w:p>
    <w:p w14:paraId="2B5300CA">
      <w:pPr>
        <w:widowControl/>
        <w:adjustRightInd w:val="0"/>
        <w:snapToGrid w:val="0"/>
        <w:spacing w:line="560" w:lineRule="exact"/>
        <w:ind w:firstLine="600" w:firstLineChars="200"/>
        <w:rPr>
          <w:rFonts w:eastAsia="仿宋_GB2312"/>
          <w:kern w:val="2"/>
          <w:sz w:val="30"/>
          <w:szCs w:val="30"/>
        </w:rPr>
      </w:pPr>
      <w:r>
        <w:rPr>
          <w:rFonts w:eastAsia="仿宋_GB2312"/>
          <w:kern w:val="0"/>
          <w:sz w:val="30"/>
          <w:szCs w:val="30"/>
        </w:rPr>
        <w:t>1.作品登记表：</w:t>
      </w:r>
      <w:r>
        <w:rPr>
          <w:rFonts w:eastAsia="仿宋_GB2312"/>
          <w:kern w:val="2"/>
          <w:sz w:val="30"/>
          <w:szCs w:val="30"/>
        </w:rPr>
        <w:t>PDF格式（</w:t>
      </w:r>
      <w:r>
        <w:rPr>
          <w:rFonts w:hint="default" w:eastAsia="仿宋_GB2312"/>
          <w:kern w:val="2"/>
          <w:sz w:val="30"/>
          <w:szCs w:val="30"/>
          <w:lang w:val="en-US" w:eastAsia="zh-CN"/>
        </w:rPr>
        <w:t>在线填报，</w:t>
      </w:r>
      <w:r>
        <w:rPr>
          <w:rFonts w:eastAsia="仿宋_GB2312"/>
          <w:kern w:val="2"/>
          <w:sz w:val="30"/>
          <w:szCs w:val="30"/>
        </w:rPr>
        <w:t>须签名、盖章并扫描）；</w:t>
      </w:r>
    </w:p>
    <w:p w14:paraId="1EA829AB">
      <w:pPr>
        <w:adjustRightInd w:val="0"/>
        <w:snapToGrid w:val="0"/>
        <w:spacing w:line="560" w:lineRule="exact"/>
        <w:ind w:firstLine="600" w:firstLineChars="200"/>
        <w:rPr>
          <w:rFonts w:eastAsia="仿宋_GB2312"/>
          <w:sz w:val="30"/>
          <w:szCs w:val="30"/>
        </w:rPr>
      </w:pPr>
      <w:r>
        <w:rPr>
          <w:rFonts w:eastAsia="仿宋_GB2312"/>
          <w:sz w:val="30"/>
          <w:szCs w:val="30"/>
        </w:rPr>
        <w:t>2.</w:t>
      </w:r>
      <w:r>
        <w:rPr>
          <w:rFonts w:hint="eastAsia" w:eastAsia="仿宋_GB2312"/>
          <w:sz w:val="30"/>
          <w:szCs w:val="30"/>
        </w:rPr>
        <w:t>案例介绍文档：</w:t>
      </w:r>
      <w:r>
        <w:rPr>
          <w:rFonts w:eastAsia="仿宋_GB2312"/>
          <w:sz w:val="30"/>
          <w:szCs w:val="30"/>
        </w:rPr>
        <w:t>WORD</w:t>
      </w:r>
      <w:r>
        <w:rPr>
          <w:rFonts w:hint="eastAsia" w:eastAsia="仿宋_GB2312"/>
          <w:sz w:val="30"/>
          <w:szCs w:val="30"/>
        </w:rPr>
        <w:t>和</w:t>
      </w:r>
      <w:r>
        <w:rPr>
          <w:rFonts w:eastAsia="仿宋_GB2312"/>
          <w:sz w:val="30"/>
          <w:szCs w:val="30"/>
        </w:rPr>
        <w:t>PDF</w:t>
      </w:r>
      <w:r>
        <w:rPr>
          <w:rFonts w:hint="eastAsia" w:eastAsia="仿宋_GB2312"/>
          <w:sz w:val="30"/>
          <w:szCs w:val="30"/>
        </w:rPr>
        <w:t>格式；</w:t>
      </w:r>
    </w:p>
    <w:p w14:paraId="6400F62A">
      <w:pPr>
        <w:adjustRightInd w:val="0"/>
        <w:snapToGrid w:val="0"/>
        <w:spacing w:line="560" w:lineRule="exact"/>
        <w:ind w:firstLine="600" w:firstLineChars="200"/>
        <w:rPr>
          <w:rFonts w:eastAsia="仿宋_GB2312"/>
          <w:sz w:val="30"/>
          <w:szCs w:val="30"/>
        </w:rPr>
      </w:pPr>
      <w:r>
        <w:rPr>
          <w:rFonts w:eastAsia="仿宋_GB2312"/>
          <w:sz w:val="30"/>
          <w:szCs w:val="30"/>
        </w:rPr>
        <w:t>3.</w:t>
      </w:r>
      <w:r>
        <w:rPr>
          <w:rFonts w:hint="eastAsia" w:eastAsia="仿宋_GB2312"/>
          <w:sz w:val="30"/>
          <w:szCs w:val="30"/>
          <w:lang w:val="en-US" w:eastAsia="zh-CN"/>
        </w:rPr>
        <w:t>教学</w:t>
      </w:r>
      <w:r>
        <w:rPr>
          <w:rFonts w:hint="eastAsia" w:eastAsia="仿宋_GB2312"/>
          <w:sz w:val="30"/>
          <w:szCs w:val="30"/>
        </w:rPr>
        <w:t>设计方案：</w:t>
      </w:r>
      <w:r>
        <w:rPr>
          <w:rFonts w:eastAsia="仿宋_GB2312"/>
          <w:sz w:val="30"/>
          <w:szCs w:val="30"/>
        </w:rPr>
        <w:t>WORD</w:t>
      </w:r>
      <w:r>
        <w:rPr>
          <w:rFonts w:hint="eastAsia" w:eastAsia="仿宋_GB2312"/>
          <w:sz w:val="30"/>
          <w:szCs w:val="30"/>
        </w:rPr>
        <w:t>和</w:t>
      </w:r>
      <w:r>
        <w:rPr>
          <w:rFonts w:eastAsia="仿宋_GB2312"/>
          <w:sz w:val="30"/>
          <w:szCs w:val="30"/>
        </w:rPr>
        <w:t>PDF</w:t>
      </w:r>
      <w:r>
        <w:rPr>
          <w:rFonts w:hint="eastAsia" w:eastAsia="仿宋_GB2312"/>
          <w:sz w:val="30"/>
          <w:szCs w:val="30"/>
        </w:rPr>
        <w:t>格式；</w:t>
      </w:r>
    </w:p>
    <w:p w14:paraId="13E0B349">
      <w:pPr>
        <w:adjustRightInd w:val="0"/>
        <w:snapToGrid w:val="0"/>
        <w:spacing w:line="560" w:lineRule="exact"/>
        <w:ind w:firstLine="600" w:firstLineChars="200"/>
        <w:rPr>
          <w:rFonts w:eastAsia="仿宋_GB2312"/>
          <w:sz w:val="30"/>
          <w:szCs w:val="30"/>
        </w:rPr>
      </w:pPr>
      <w:r>
        <w:rPr>
          <w:rFonts w:eastAsia="仿宋_GB2312"/>
          <w:sz w:val="30"/>
          <w:szCs w:val="30"/>
        </w:rPr>
        <w:t>4.</w:t>
      </w:r>
      <w:r>
        <w:rPr>
          <w:rFonts w:hint="eastAsia" w:eastAsia="仿宋_GB2312"/>
          <w:sz w:val="30"/>
          <w:szCs w:val="30"/>
        </w:rPr>
        <w:t>教学活动视频：</w:t>
      </w:r>
      <w:r>
        <w:rPr>
          <w:rFonts w:hint="eastAsia" w:eastAsia="仿宋_GB2312"/>
          <w:color w:val="auto"/>
          <w:kern w:val="2"/>
          <w:sz w:val="30"/>
          <w:szCs w:val="30"/>
        </w:rPr>
        <w:t>上传后需要</w:t>
      </w:r>
      <w:r>
        <w:rPr>
          <w:rFonts w:hint="eastAsia" w:eastAsia="仿宋_GB2312"/>
          <w:color w:val="auto"/>
          <w:kern w:val="2"/>
          <w:sz w:val="30"/>
          <w:szCs w:val="30"/>
          <w:lang w:val="en-US" w:eastAsia="zh-CN"/>
        </w:rPr>
        <w:t>在平台上设置准确的教学</w:t>
      </w:r>
      <w:r>
        <w:rPr>
          <w:rFonts w:hint="eastAsia" w:eastAsia="仿宋_GB2312"/>
          <w:color w:val="auto"/>
          <w:kern w:val="2"/>
          <w:sz w:val="30"/>
          <w:szCs w:val="30"/>
        </w:rPr>
        <w:t>节点；</w:t>
      </w:r>
    </w:p>
    <w:p w14:paraId="33E6D23A">
      <w:pPr>
        <w:adjustRightInd w:val="0"/>
        <w:snapToGrid w:val="0"/>
        <w:spacing w:line="560" w:lineRule="exact"/>
        <w:ind w:firstLine="600" w:firstLineChars="200"/>
        <w:rPr>
          <w:rFonts w:eastAsia="仿宋_GB2312"/>
          <w:sz w:val="30"/>
          <w:szCs w:val="30"/>
        </w:rPr>
      </w:pPr>
      <w:r>
        <w:rPr>
          <w:rFonts w:eastAsia="仿宋_GB2312"/>
          <w:sz w:val="30"/>
          <w:szCs w:val="30"/>
        </w:rPr>
        <w:t>5.</w:t>
      </w:r>
      <w:r>
        <w:rPr>
          <w:rFonts w:hint="eastAsia" w:eastAsia="仿宋_GB2312"/>
          <w:sz w:val="30"/>
          <w:szCs w:val="30"/>
        </w:rPr>
        <w:t>相关材料：</w:t>
      </w:r>
      <w:r>
        <w:rPr>
          <w:rFonts w:hint="eastAsia" w:ascii="仿宋_GB2312" w:hAnsi="仿宋_GB2312" w:eastAsia="仿宋_GB2312" w:cs="仿宋_GB2312"/>
          <w:b w:val="0"/>
          <w:bCs w:val="0"/>
          <w:color w:val="auto"/>
          <w:kern w:val="0"/>
          <w:sz w:val="32"/>
          <w:szCs w:val="32"/>
        </w:rPr>
        <w:t>以</w:t>
      </w:r>
      <w:r>
        <w:rPr>
          <w:rFonts w:hint="eastAsia" w:ascii="仿宋_GB2312" w:hAnsi="仿宋_GB2312" w:eastAsia="仿宋_GB2312" w:cs="仿宋_GB2312"/>
          <w:b w:val="0"/>
          <w:bCs w:val="0"/>
          <w:color w:val="auto"/>
          <w:kern w:val="0"/>
          <w:sz w:val="32"/>
          <w:szCs w:val="32"/>
          <w:lang w:val="en-US" w:eastAsia="zh-CN"/>
        </w:rPr>
        <w:t>文档、</w:t>
      </w:r>
      <w:r>
        <w:rPr>
          <w:rFonts w:hint="eastAsia" w:ascii="仿宋_GB2312" w:hAnsi="仿宋_GB2312" w:eastAsia="仿宋_GB2312" w:cs="仿宋_GB2312"/>
          <w:b w:val="0"/>
          <w:bCs w:val="0"/>
          <w:color w:val="auto"/>
          <w:kern w:val="0"/>
          <w:sz w:val="32"/>
          <w:szCs w:val="32"/>
        </w:rPr>
        <w:t>压缩包（RAR或ZIP格式）的形式提交</w:t>
      </w:r>
      <w:r>
        <w:rPr>
          <w:rFonts w:hint="eastAsia" w:eastAsia="仿宋_GB2312"/>
          <w:sz w:val="30"/>
          <w:szCs w:val="30"/>
        </w:rPr>
        <w:t>；</w:t>
      </w:r>
    </w:p>
    <w:p w14:paraId="16132683">
      <w:pPr>
        <w:adjustRightInd w:val="0"/>
        <w:snapToGrid w:val="0"/>
        <w:spacing w:line="560" w:lineRule="exact"/>
        <w:ind w:firstLine="600" w:firstLineChars="200"/>
        <w:rPr>
          <w:rFonts w:hint="eastAsia" w:eastAsia="仿宋_GB2312"/>
          <w:sz w:val="30"/>
          <w:szCs w:val="30"/>
          <w:lang w:eastAsia="zh-CN"/>
        </w:rPr>
      </w:pPr>
      <w:r>
        <w:rPr>
          <w:rFonts w:eastAsia="仿宋_GB2312"/>
          <w:sz w:val="30"/>
          <w:szCs w:val="30"/>
        </w:rPr>
        <w:t>6.</w:t>
      </w:r>
      <w:r>
        <w:rPr>
          <w:rFonts w:hint="eastAsia" w:eastAsia="仿宋_GB2312"/>
          <w:kern w:val="0"/>
          <w:sz w:val="30"/>
          <w:szCs w:val="30"/>
        </w:rPr>
        <w:t>作品截图：</w:t>
      </w:r>
      <w:r>
        <w:rPr>
          <w:rFonts w:eastAsia="仿宋_GB2312"/>
          <w:kern w:val="0"/>
          <w:sz w:val="30"/>
          <w:szCs w:val="30"/>
        </w:rPr>
        <w:t>JPG</w:t>
      </w:r>
      <w:r>
        <w:rPr>
          <w:rFonts w:hint="eastAsia" w:eastAsia="仿宋_GB2312"/>
          <w:kern w:val="0"/>
          <w:sz w:val="30"/>
          <w:szCs w:val="30"/>
        </w:rPr>
        <w:t>格式</w:t>
      </w:r>
      <w:r>
        <w:rPr>
          <w:rFonts w:hint="eastAsia" w:eastAsia="仿宋_GB2312"/>
          <w:sz w:val="30"/>
          <w:szCs w:val="30"/>
          <w:lang w:eastAsia="zh-CN"/>
        </w:rPr>
        <w:t>；</w:t>
      </w:r>
    </w:p>
    <w:p w14:paraId="4D3CC6B2">
      <w:pPr>
        <w:adjustRightInd w:val="0"/>
        <w:snapToGrid w:val="0"/>
        <w:spacing w:line="560" w:lineRule="exact"/>
        <w:ind w:firstLine="600" w:firstLineChars="200"/>
        <w:rPr>
          <w:rFonts w:eastAsia="仿宋_GB2312"/>
        </w:rPr>
      </w:pPr>
      <w:r>
        <w:rPr>
          <w:rFonts w:eastAsia="仿宋_GB2312"/>
          <w:sz w:val="30"/>
          <w:szCs w:val="30"/>
        </w:rPr>
        <w:t>7</w:t>
      </w:r>
      <w:r>
        <w:rPr>
          <w:rFonts w:eastAsia="仿宋_GB2312"/>
          <w:kern w:val="0"/>
          <w:sz w:val="30"/>
          <w:szCs w:val="30"/>
        </w:rPr>
        <w:t>.</w:t>
      </w:r>
      <w:r>
        <w:rPr>
          <w:rFonts w:hint="eastAsia" w:eastAsia="仿宋_GB2312"/>
          <w:kern w:val="0"/>
          <w:sz w:val="30"/>
          <w:szCs w:val="30"/>
        </w:rPr>
        <w:t>辐射推广情况说明：</w:t>
      </w:r>
      <w:r>
        <w:rPr>
          <w:rFonts w:eastAsia="仿宋_GB2312"/>
          <w:kern w:val="0"/>
          <w:sz w:val="30"/>
          <w:szCs w:val="30"/>
        </w:rPr>
        <w:t>WORD</w:t>
      </w:r>
      <w:r>
        <w:rPr>
          <w:rFonts w:hint="eastAsia" w:eastAsia="仿宋_GB2312"/>
          <w:kern w:val="0"/>
          <w:sz w:val="30"/>
          <w:szCs w:val="30"/>
        </w:rPr>
        <w:t>格式和</w:t>
      </w:r>
      <w:r>
        <w:rPr>
          <w:rFonts w:eastAsia="仿宋_GB2312"/>
          <w:kern w:val="0"/>
          <w:sz w:val="30"/>
          <w:szCs w:val="30"/>
        </w:rPr>
        <w:t>PDF</w:t>
      </w:r>
      <w:r>
        <w:rPr>
          <w:rFonts w:hint="eastAsia" w:eastAsia="仿宋_GB2312"/>
          <w:kern w:val="0"/>
          <w:sz w:val="30"/>
          <w:szCs w:val="30"/>
        </w:rPr>
        <w:t>格式（辐射推广类的牵头作品必须提交）。</w:t>
      </w:r>
    </w:p>
    <w:p w14:paraId="384CC66F">
      <w:pPr>
        <w:adjustRightInd w:val="0"/>
        <w:snapToGrid w:val="0"/>
        <w:spacing w:line="560" w:lineRule="exact"/>
        <w:ind w:firstLine="600" w:firstLineChars="200"/>
        <w:rPr>
          <w:rFonts w:eastAsia="仿宋_GB2312"/>
          <w:sz w:val="32"/>
          <w:szCs w:val="32"/>
        </w:rPr>
      </w:pPr>
      <w:r>
        <w:rPr>
          <w:rFonts w:hint="eastAsia" w:eastAsia="仿宋_GB2312"/>
          <w:sz w:val="30"/>
          <w:szCs w:val="30"/>
        </w:rPr>
        <w:t>以上作品报送材料须按照活动平台的具体要求上传，文件命名规则为：第一作者</w:t>
      </w:r>
      <w:r>
        <w:rPr>
          <w:rFonts w:eastAsia="仿宋_GB2312"/>
          <w:sz w:val="30"/>
          <w:szCs w:val="30"/>
        </w:rPr>
        <w:t>+</w:t>
      </w:r>
      <w:r>
        <w:rPr>
          <w:rFonts w:hint="eastAsia" w:eastAsia="仿宋_GB2312"/>
          <w:sz w:val="30"/>
          <w:szCs w:val="30"/>
        </w:rPr>
        <w:t>作品名称</w:t>
      </w:r>
      <w:r>
        <w:rPr>
          <w:rFonts w:eastAsia="仿宋_GB2312"/>
          <w:sz w:val="30"/>
          <w:szCs w:val="30"/>
        </w:rPr>
        <w:t>+</w:t>
      </w:r>
      <w:r>
        <w:rPr>
          <w:rFonts w:hint="eastAsia" w:eastAsia="仿宋_GB2312"/>
          <w:sz w:val="30"/>
          <w:szCs w:val="30"/>
        </w:rPr>
        <w:t>材料类别（如：张三《正方形》作品登记表）。该项目的所有报送材料的总体容量大小不超</w:t>
      </w:r>
      <w:r>
        <w:rPr>
          <w:rFonts w:hint="eastAsia" w:ascii="仿宋_GB2312" w:hAnsi="仿宋_GB2312" w:eastAsia="仿宋_GB2312" w:cs="仿宋_GB2312"/>
          <w:b w:val="0"/>
          <w:bCs w:val="0"/>
          <w:color w:val="auto"/>
          <w:sz w:val="32"/>
          <w:szCs w:val="32"/>
        </w:rPr>
        <w:t>1GB</w:t>
      </w:r>
      <w:r>
        <w:rPr>
          <w:rFonts w:hint="eastAsia" w:eastAsia="仿宋_GB2312"/>
          <w:sz w:val="30"/>
          <w:szCs w:val="30"/>
        </w:rPr>
        <w:t>。</w:t>
      </w:r>
    </w:p>
    <w:p w14:paraId="0016F3A9">
      <w:pPr>
        <w:adjustRightInd w:val="0"/>
        <w:snapToGrid w:val="0"/>
        <w:spacing w:line="560" w:lineRule="exact"/>
        <w:ind w:firstLine="640" w:firstLineChars="200"/>
        <w:rPr>
          <w:rFonts w:eastAsia="黑体"/>
          <w:sz w:val="32"/>
          <w:szCs w:val="32"/>
        </w:rPr>
      </w:pPr>
      <w:r>
        <w:rPr>
          <w:rFonts w:hint="eastAsia" w:eastAsia="黑体"/>
          <w:sz w:val="32"/>
          <w:szCs w:val="32"/>
          <w:lang w:val="en-US" w:eastAsia="zh-CN"/>
        </w:rPr>
        <w:t>五</w:t>
      </w:r>
      <w:r>
        <w:rPr>
          <w:rFonts w:hint="eastAsia" w:eastAsia="黑体"/>
          <w:sz w:val="32"/>
          <w:szCs w:val="32"/>
        </w:rPr>
        <w:t>、评审指标</w:t>
      </w:r>
    </w:p>
    <w:p w14:paraId="24715285">
      <w:pPr>
        <w:adjustRightInd w:val="0"/>
        <w:snapToGrid w:val="0"/>
        <w:spacing w:line="560" w:lineRule="exact"/>
        <w:ind w:firstLine="600" w:firstLineChars="200"/>
        <w:rPr>
          <w:rFonts w:eastAsia="楷体"/>
          <w:b/>
          <w:bCs/>
          <w:color w:val="000000"/>
          <w:sz w:val="30"/>
          <w:szCs w:val="30"/>
        </w:rPr>
      </w:pPr>
      <w:r>
        <w:rPr>
          <w:rFonts w:hint="eastAsia" w:ascii="仿宋_GB2312" w:hAnsi="仿宋_GB2312" w:eastAsia="仿宋_GB2312" w:cs="仿宋_GB2312"/>
          <w:b w:val="0"/>
          <w:bCs w:val="0"/>
          <w:color w:val="auto"/>
          <w:sz w:val="30"/>
          <w:szCs w:val="30"/>
        </w:rPr>
        <w:t>融合创新应用教学案例作品</w:t>
      </w:r>
      <w:r>
        <w:rPr>
          <w:rFonts w:hint="eastAsia" w:ascii="仿宋_GB2312" w:hAnsi="仿宋_GB2312" w:eastAsia="仿宋_GB2312" w:cs="仿宋_GB2312"/>
          <w:b w:val="0"/>
          <w:bCs w:val="0"/>
          <w:color w:val="auto"/>
          <w:sz w:val="30"/>
          <w:szCs w:val="30"/>
          <w:lang w:val="en-US" w:eastAsia="zh-CN"/>
        </w:rPr>
        <w:t>的</w:t>
      </w:r>
      <w:r>
        <w:rPr>
          <w:rFonts w:hint="eastAsia" w:ascii="仿宋_GB2312" w:hAnsi="仿宋_GB2312" w:eastAsia="仿宋_GB2312" w:cs="仿宋_GB2312"/>
          <w:b w:val="0"/>
          <w:bCs w:val="0"/>
          <w:color w:val="auto"/>
          <w:sz w:val="30"/>
          <w:szCs w:val="30"/>
        </w:rPr>
        <w:t>评审</w:t>
      </w:r>
      <w:r>
        <w:rPr>
          <w:rFonts w:hint="eastAsia" w:ascii="仿宋_GB2312" w:hAnsi="仿宋_GB2312" w:eastAsia="仿宋_GB2312" w:cs="仿宋_GB2312"/>
          <w:b w:val="0"/>
          <w:bCs w:val="0"/>
          <w:color w:val="auto"/>
          <w:sz w:val="30"/>
          <w:szCs w:val="30"/>
          <w:lang w:val="en-US" w:eastAsia="zh-CN"/>
        </w:rPr>
        <w:t>指标维度</w:t>
      </w:r>
      <w:r>
        <w:rPr>
          <w:rFonts w:hint="eastAsia" w:ascii="仿宋_GB2312" w:hAnsi="仿宋_GB2312" w:eastAsia="仿宋_GB2312" w:cs="仿宋_GB2312"/>
          <w:b w:val="0"/>
          <w:bCs w:val="0"/>
          <w:color w:val="auto"/>
          <w:sz w:val="30"/>
          <w:szCs w:val="30"/>
        </w:rPr>
        <w:t>分为：学科教学维度（70%）、技术赋能维度（20%）和特色创新维度（10%）</w:t>
      </w:r>
      <w:r>
        <w:rPr>
          <w:rFonts w:hint="eastAsia" w:eastAsia="仿宋_GB2312"/>
          <w:color w:val="000000"/>
          <w:sz w:val="30"/>
          <w:szCs w:val="30"/>
        </w:rPr>
        <w:t>。</w:t>
      </w:r>
    </w:p>
    <w:p w14:paraId="23261E34">
      <w:pPr>
        <w:numPr>
          <w:ilvl w:val="-1"/>
          <w:numId w:val="0"/>
        </w:numPr>
        <w:spacing w:line="560" w:lineRule="exact"/>
        <w:jc w:val="center"/>
        <w:rPr>
          <w:rFonts w:hint="eastAsia" w:eastAsia="楷体"/>
          <w:b/>
          <w:bCs/>
          <w:sz w:val="32"/>
          <w:szCs w:val="32"/>
        </w:rPr>
      </w:pPr>
      <w:r>
        <w:rPr>
          <w:rFonts w:hint="eastAsia" w:eastAsia="楷体"/>
          <w:b/>
          <w:bCs/>
          <w:color w:val="000000"/>
          <w:sz w:val="32"/>
          <w:szCs w:val="32"/>
          <w:lang w:val="en-US" w:eastAsia="zh-CN"/>
        </w:rPr>
        <w:t xml:space="preserve">1. </w:t>
      </w:r>
      <w:r>
        <w:rPr>
          <w:rFonts w:hint="eastAsia" w:eastAsia="楷体"/>
          <w:b/>
          <w:bCs/>
          <w:color w:val="000000"/>
          <w:sz w:val="32"/>
          <w:szCs w:val="32"/>
        </w:rPr>
        <w:t>学科教</w:t>
      </w:r>
      <w:r>
        <w:rPr>
          <w:rFonts w:hint="eastAsia" w:eastAsia="楷体"/>
          <w:b/>
          <w:bCs/>
          <w:sz w:val="32"/>
          <w:szCs w:val="32"/>
        </w:rPr>
        <w:t>学维度（</w:t>
      </w:r>
      <w:r>
        <w:rPr>
          <w:rFonts w:eastAsia="楷体"/>
          <w:b/>
          <w:bCs/>
          <w:sz w:val="32"/>
          <w:szCs w:val="32"/>
        </w:rPr>
        <w:t>70%</w:t>
      </w:r>
      <w:r>
        <w:rPr>
          <w:rFonts w:hint="eastAsia" w:eastAsia="楷体"/>
          <w:b/>
          <w:bCs/>
          <w:sz w:val="32"/>
          <w:szCs w:val="32"/>
        </w:rPr>
        <w:t>）</w:t>
      </w:r>
    </w:p>
    <w:tbl>
      <w:tblPr>
        <w:tblStyle w:val="11"/>
        <w:tblW w:w="9963" w:type="dxa"/>
        <w:jc w:val="center"/>
        <w:tblLayout w:type="fixed"/>
        <w:tblCellMar>
          <w:top w:w="0" w:type="dxa"/>
          <w:left w:w="108" w:type="dxa"/>
          <w:bottom w:w="0" w:type="dxa"/>
          <w:right w:w="108" w:type="dxa"/>
        </w:tblCellMar>
      </w:tblPr>
      <w:tblGrid>
        <w:gridCol w:w="1446"/>
        <w:gridCol w:w="1385"/>
        <w:gridCol w:w="5733"/>
        <w:gridCol w:w="1399"/>
      </w:tblGrid>
      <w:tr w14:paraId="76707326">
        <w:tblPrEx>
          <w:tblCellMar>
            <w:top w:w="0" w:type="dxa"/>
            <w:left w:w="108" w:type="dxa"/>
            <w:bottom w:w="0" w:type="dxa"/>
            <w:right w:w="108" w:type="dxa"/>
          </w:tblCellMar>
        </w:tblPrEx>
        <w:trPr>
          <w:trHeight w:val="480" w:hRule="atLeast"/>
          <w:jc w:val="center"/>
        </w:trPr>
        <w:tc>
          <w:tcPr>
            <w:tcW w:w="1446" w:type="dxa"/>
            <w:tcBorders>
              <w:top w:val="single" w:color="000000" w:sz="4" w:space="0"/>
              <w:left w:val="single" w:color="000000" w:sz="4" w:space="0"/>
              <w:bottom w:val="single" w:color="000000" w:sz="4" w:space="0"/>
              <w:right w:val="single" w:color="000000" w:sz="4" w:space="0"/>
            </w:tcBorders>
            <w:noWrap w:val="0"/>
            <w:vAlign w:val="center"/>
          </w:tcPr>
          <w:p w14:paraId="79CA6DD0">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维度</w:t>
            </w:r>
          </w:p>
        </w:tc>
        <w:tc>
          <w:tcPr>
            <w:tcW w:w="1385" w:type="dxa"/>
            <w:tcBorders>
              <w:top w:val="single" w:color="000000" w:sz="4" w:space="0"/>
              <w:left w:val="single" w:color="000000" w:sz="4" w:space="0"/>
              <w:bottom w:val="single" w:color="000000" w:sz="4" w:space="0"/>
              <w:right w:val="single" w:color="000000" w:sz="4" w:space="0"/>
            </w:tcBorders>
            <w:noWrap w:val="0"/>
            <w:vAlign w:val="center"/>
          </w:tcPr>
          <w:p w14:paraId="0CC7B15E">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指标</w:t>
            </w:r>
          </w:p>
        </w:tc>
        <w:tc>
          <w:tcPr>
            <w:tcW w:w="5733" w:type="dxa"/>
            <w:tcBorders>
              <w:top w:val="single" w:color="000000" w:sz="4" w:space="0"/>
              <w:left w:val="single" w:color="000000" w:sz="4" w:space="0"/>
              <w:bottom w:val="single" w:color="000000" w:sz="4" w:space="0"/>
              <w:right w:val="single" w:color="000000" w:sz="4" w:space="0"/>
            </w:tcBorders>
            <w:noWrap w:val="0"/>
            <w:vAlign w:val="center"/>
          </w:tcPr>
          <w:p w14:paraId="50A931C1">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评价要点描述</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0CD83DC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参考分值</w:t>
            </w:r>
          </w:p>
          <w:p w14:paraId="47ADF966">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等级</w:t>
            </w:r>
          </w:p>
        </w:tc>
      </w:tr>
      <w:tr w14:paraId="5E86D931">
        <w:tblPrEx>
          <w:tblCellMar>
            <w:top w:w="0" w:type="dxa"/>
            <w:left w:w="108" w:type="dxa"/>
            <w:bottom w:w="0" w:type="dxa"/>
            <w:right w:w="108" w:type="dxa"/>
          </w:tblCellMar>
        </w:tblPrEx>
        <w:trPr>
          <w:trHeight w:val="480" w:hRule="atLeast"/>
          <w:jc w:val="center"/>
        </w:trPr>
        <w:tc>
          <w:tcPr>
            <w:tcW w:w="1446" w:type="dxa"/>
            <w:vMerge w:val="restart"/>
            <w:tcBorders>
              <w:top w:val="single" w:color="000000" w:sz="4" w:space="0"/>
              <w:left w:val="single" w:color="000000" w:sz="4" w:space="0"/>
              <w:right w:val="single" w:color="000000" w:sz="4" w:space="0"/>
            </w:tcBorders>
            <w:noWrap w:val="0"/>
            <w:vAlign w:val="center"/>
          </w:tcPr>
          <w:p w14:paraId="29C53D2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理念与目标</w:t>
            </w:r>
          </w:p>
          <w:p w14:paraId="6EE2F88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0"/>
                <w:sz w:val="24"/>
                <w:szCs w:val="24"/>
              </w:rPr>
              <w:t>（20分）</w:t>
            </w:r>
          </w:p>
        </w:tc>
        <w:tc>
          <w:tcPr>
            <w:tcW w:w="1385" w:type="dxa"/>
            <w:tcBorders>
              <w:top w:val="single" w:color="000000" w:sz="4" w:space="0"/>
              <w:left w:val="single" w:color="000000" w:sz="4" w:space="0"/>
              <w:bottom w:val="single" w:color="000000" w:sz="4" w:space="0"/>
              <w:right w:val="single" w:color="000000" w:sz="4" w:space="0"/>
            </w:tcBorders>
            <w:noWrap w:val="0"/>
            <w:vAlign w:val="center"/>
          </w:tcPr>
          <w:p w14:paraId="7B5CE2B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教学理念</w:t>
            </w:r>
          </w:p>
          <w:p w14:paraId="6052C6F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（6分）</w:t>
            </w:r>
          </w:p>
        </w:tc>
        <w:tc>
          <w:tcPr>
            <w:tcW w:w="5733" w:type="dxa"/>
            <w:tcBorders>
              <w:top w:val="single" w:color="000000" w:sz="4" w:space="0"/>
              <w:left w:val="single" w:color="000000" w:sz="4" w:space="0"/>
              <w:bottom w:val="single" w:color="000000" w:sz="4" w:space="0"/>
              <w:right w:val="single" w:color="000000" w:sz="4" w:space="0"/>
            </w:tcBorders>
            <w:noWrap w:val="0"/>
            <w:vAlign w:val="center"/>
          </w:tcPr>
          <w:p w14:paraId="201F4C69">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能够体现国家“双新”“双减”教育改革要求，彰显教育数字化转型特征，回应基础教育高质量发展诉求，深化学科核心素养导向，选用合适的教学理念，以教师为主导、学生为主体，创新课堂教学。</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0C197B8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A（5-6分）</w:t>
            </w:r>
          </w:p>
          <w:p w14:paraId="64AB6B1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B（3-4分）</w:t>
            </w:r>
          </w:p>
          <w:p w14:paraId="3FBD027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C（0-2分）</w:t>
            </w:r>
          </w:p>
        </w:tc>
      </w:tr>
      <w:tr w14:paraId="303394AA">
        <w:tblPrEx>
          <w:tblCellMar>
            <w:top w:w="0" w:type="dxa"/>
            <w:left w:w="108" w:type="dxa"/>
            <w:bottom w:w="0" w:type="dxa"/>
            <w:right w:w="108" w:type="dxa"/>
          </w:tblCellMar>
        </w:tblPrEx>
        <w:trPr>
          <w:trHeight w:val="480" w:hRule="atLeast"/>
          <w:jc w:val="center"/>
        </w:trPr>
        <w:tc>
          <w:tcPr>
            <w:tcW w:w="1446" w:type="dxa"/>
            <w:vMerge w:val="continue"/>
            <w:tcBorders>
              <w:left w:val="single" w:color="000000" w:sz="4" w:space="0"/>
              <w:right w:val="single" w:color="000000" w:sz="4" w:space="0"/>
            </w:tcBorders>
            <w:noWrap w:val="0"/>
            <w:vAlign w:val="center"/>
          </w:tcPr>
          <w:p w14:paraId="5847472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p>
        </w:tc>
        <w:tc>
          <w:tcPr>
            <w:tcW w:w="1385" w:type="dxa"/>
            <w:tcBorders>
              <w:top w:val="single" w:color="000000" w:sz="4" w:space="0"/>
              <w:left w:val="single" w:color="000000" w:sz="4" w:space="0"/>
              <w:bottom w:val="single" w:color="000000" w:sz="4" w:space="0"/>
              <w:right w:val="single" w:color="000000" w:sz="4" w:space="0"/>
            </w:tcBorders>
            <w:noWrap w:val="0"/>
            <w:vAlign w:val="center"/>
          </w:tcPr>
          <w:p w14:paraId="265F6B8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教学目标</w:t>
            </w:r>
          </w:p>
          <w:p w14:paraId="278FFE4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（8分）</w:t>
            </w:r>
          </w:p>
        </w:tc>
        <w:tc>
          <w:tcPr>
            <w:tcW w:w="5733" w:type="dxa"/>
            <w:tcBorders>
              <w:top w:val="single" w:color="000000" w:sz="4" w:space="0"/>
              <w:left w:val="single" w:color="000000" w:sz="4" w:space="0"/>
              <w:bottom w:val="single" w:color="000000" w:sz="4" w:space="0"/>
              <w:right w:val="single" w:color="000000" w:sz="4" w:space="0"/>
            </w:tcBorders>
            <w:noWrap w:val="0"/>
            <w:vAlign w:val="center"/>
          </w:tcPr>
          <w:p w14:paraId="296A6AF7">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能够指向学科核心素养，围绕学生在学习过程中，应生成的价值观念、必备品格和关键能力，科学确定教学目标。教学目标应体现学科教学和综合素质培育，表述明确、相互关联，重点突出、可评可测。</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6B4999C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A（6-8分）</w:t>
            </w:r>
          </w:p>
          <w:p w14:paraId="17D7D0A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B（3-5分）</w:t>
            </w:r>
          </w:p>
          <w:p w14:paraId="483F7CF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C（0-2分）</w:t>
            </w:r>
          </w:p>
        </w:tc>
      </w:tr>
      <w:tr w14:paraId="69482FDC">
        <w:tblPrEx>
          <w:tblCellMar>
            <w:top w:w="0" w:type="dxa"/>
            <w:left w:w="108" w:type="dxa"/>
            <w:bottom w:w="0" w:type="dxa"/>
            <w:right w:w="108" w:type="dxa"/>
          </w:tblCellMar>
        </w:tblPrEx>
        <w:trPr>
          <w:trHeight w:val="480" w:hRule="atLeast"/>
          <w:jc w:val="center"/>
        </w:trPr>
        <w:tc>
          <w:tcPr>
            <w:tcW w:w="1446" w:type="dxa"/>
            <w:vMerge w:val="continue"/>
            <w:tcBorders>
              <w:left w:val="single" w:color="000000" w:sz="4" w:space="0"/>
              <w:bottom w:val="single" w:color="auto" w:sz="4" w:space="0"/>
              <w:right w:val="single" w:color="000000" w:sz="4" w:space="0"/>
            </w:tcBorders>
            <w:noWrap w:val="0"/>
            <w:vAlign w:val="center"/>
          </w:tcPr>
          <w:p w14:paraId="6595607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p>
        </w:tc>
        <w:tc>
          <w:tcPr>
            <w:tcW w:w="1385" w:type="dxa"/>
            <w:tcBorders>
              <w:top w:val="single" w:color="000000" w:sz="4" w:space="0"/>
              <w:left w:val="single" w:color="000000" w:sz="4" w:space="0"/>
              <w:bottom w:val="single" w:color="000000" w:sz="4" w:space="0"/>
              <w:right w:val="single" w:color="000000" w:sz="4" w:space="0"/>
            </w:tcBorders>
            <w:noWrap w:val="0"/>
            <w:vAlign w:val="center"/>
          </w:tcPr>
          <w:p w14:paraId="22E4EBD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课程思政</w:t>
            </w:r>
          </w:p>
          <w:p w14:paraId="5BC1AFC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（6分）</w:t>
            </w:r>
          </w:p>
        </w:tc>
        <w:tc>
          <w:tcPr>
            <w:tcW w:w="5733" w:type="dxa"/>
            <w:tcBorders>
              <w:top w:val="single" w:color="000000" w:sz="4" w:space="0"/>
              <w:left w:val="single" w:color="000000" w:sz="4" w:space="0"/>
              <w:bottom w:val="single" w:color="000000" w:sz="4" w:space="0"/>
              <w:right w:val="single" w:color="000000" w:sz="4" w:space="0"/>
            </w:tcBorders>
            <w:noWrap w:val="0"/>
            <w:vAlign w:val="center"/>
          </w:tcPr>
          <w:p w14:paraId="1BCA0E5E">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能够将党和国家的基本路线、方针政策、历史性成就与变革，国家重大工程等转化为思政元素，有效融入教学目标、内容、活动、评价之中。</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679A68DF">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A（5-6分）</w:t>
            </w:r>
          </w:p>
          <w:p w14:paraId="50ED6549">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B（3-4分）</w:t>
            </w:r>
          </w:p>
          <w:p w14:paraId="7C45E23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C（0-2分）</w:t>
            </w:r>
          </w:p>
        </w:tc>
      </w:tr>
      <w:tr w14:paraId="7E879C8E">
        <w:tblPrEx>
          <w:tblCellMar>
            <w:top w:w="0" w:type="dxa"/>
            <w:left w:w="108" w:type="dxa"/>
            <w:bottom w:w="0" w:type="dxa"/>
            <w:right w:w="108" w:type="dxa"/>
          </w:tblCellMar>
        </w:tblPrEx>
        <w:trPr>
          <w:trHeight w:val="480" w:hRule="atLeast"/>
          <w:jc w:val="center"/>
        </w:trPr>
        <w:tc>
          <w:tcPr>
            <w:tcW w:w="1446" w:type="dxa"/>
            <w:vMerge w:val="restart"/>
            <w:tcBorders>
              <w:top w:val="single" w:color="auto" w:sz="4" w:space="0"/>
              <w:left w:val="single" w:color="auto" w:sz="4" w:space="0"/>
              <w:bottom w:val="single" w:color="auto" w:sz="4" w:space="0"/>
              <w:right w:val="single" w:color="auto" w:sz="4" w:space="0"/>
            </w:tcBorders>
            <w:noWrap w:val="0"/>
            <w:vAlign w:val="center"/>
          </w:tcPr>
          <w:p w14:paraId="6B375CD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内容与方法（30分）</w:t>
            </w:r>
          </w:p>
        </w:tc>
        <w:tc>
          <w:tcPr>
            <w:tcW w:w="1385" w:type="dxa"/>
            <w:tcBorders>
              <w:top w:val="single" w:color="000000" w:sz="4" w:space="0"/>
              <w:left w:val="single" w:color="auto" w:sz="4" w:space="0"/>
              <w:bottom w:val="single" w:color="000000" w:sz="4" w:space="0"/>
              <w:right w:val="single" w:color="000000" w:sz="4" w:space="0"/>
            </w:tcBorders>
            <w:noWrap w:val="0"/>
            <w:vAlign w:val="center"/>
          </w:tcPr>
          <w:p w14:paraId="1B770F7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教学内容</w:t>
            </w:r>
          </w:p>
          <w:p w14:paraId="388411F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（12分）</w:t>
            </w:r>
          </w:p>
        </w:tc>
        <w:tc>
          <w:tcPr>
            <w:tcW w:w="5733" w:type="dxa"/>
            <w:tcBorders>
              <w:top w:val="single" w:color="000000" w:sz="4" w:space="0"/>
              <w:left w:val="single" w:color="000000" w:sz="4" w:space="0"/>
              <w:bottom w:val="single" w:color="000000" w:sz="4" w:space="0"/>
              <w:right w:val="single" w:color="000000" w:sz="4" w:space="0"/>
            </w:tcBorders>
            <w:noWrap w:val="0"/>
            <w:vAlign w:val="center"/>
          </w:tcPr>
          <w:p w14:paraId="01D54854">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以关键概念为核心，建构教学内容结构，使用“大单元-任务群-问题链”的方式组织教学内容，强化教学内容的整体性和关联性。教学内容能够有效促进教学目标达成，科学严谨、容量适度，安排合理、衔接有序、结构清晰。</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6D0F2A0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A（9-12分）</w:t>
            </w:r>
          </w:p>
          <w:p w14:paraId="55DD66A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B（5-8分）</w:t>
            </w:r>
          </w:p>
          <w:p w14:paraId="6605F4F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C（0-4分）</w:t>
            </w:r>
          </w:p>
        </w:tc>
      </w:tr>
      <w:tr w14:paraId="1C097DCE">
        <w:tblPrEx>
          <w:tblCellMar>
            <w:top w:w="0" w:type="dxa"/>
            <w:left w:w="108" w:type="dxa"/>
            <w:bottom w:w="0" w:type="dxa"/>
            <w:right w:w="108" w:type="dxa"/>
          </w:tblCellMar>
        </w:tblPrEx>
        <w:trPr>
          <w:trHeight w:val="650"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1438426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p>
        </w:tc>
        <w:tc>
          <w:tcPr>
            <w:tcW w:w="1385" w:type="dxa"/>
            <w:tcBorders>
              <w:top w:val="single" w:color="000000" w:sz="4" w:space="0"/>
              <w:left w:val="single" w:color="auto" w:sz="4" w:space="0"/>
              <w:bottom w:val="single" w:color="000000" w:sz="4" w:space="0"/>
              <w:right w:val="single" w:color="000000" w:sz="4" w:space="0"/>
            </w:tcBorders>
            <w:noWrap w:val="0"/>
            <w:vAlign w:val="center"/>
          </w:tcPr>
          <w:p w14:paraId="69B328A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教学环境</w:t>
            </w:r>
          </w:p>
          <w:p w14:paraId="4ACEEB7B">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（6分）</w:t>
            </w:r>
          </w:p>
        </w:tc>
        <w:tc>
          <w:tcPr>
            <w:tcW w:w="5733" w:type="dxa"/>
            <w:tcBorders>
              <w:top w:val="single" w:color="000000" w:sz="4" w:space="0"/>
              <w:left w:val="single" w:color="000000" w:sz="4" w:space="0"/>
              <w:bottom w:val="single" w:color="000000" w:sz="4" w:space="0"/>
              <w:right w:val="single" w:color="000000" w:sz="4" w:space="0"/>
            </w:tcBorders>
            <w:noWrap w:val="0"/>
            <w:vAlign w:val="center"/>
          </w:tcPr>
          <w:p w14:paraId="6EF75EA4">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能够利用新型教学空间，创设开放式教学情境，激发师生的灵感和智慧，有效支持教学活动的开展，助力达成教学目标。</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52904A4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A（5-6分）</w:t>
            </w:r>
          </w:p>
          <w:p w14:paraId="1BBE947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B（3-4分）</w:t>
            </w:r>
          </w:p>
          <w:p w14:paraId="098A636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C（0-2分）</w:t>
            </w:r>
          </w:p>
        </w:tc>
      </w:tr>
      <w:tr w14:paraId="291363DE">
        <w:tblPrEx>
          <w:tblCellMar>
            <w:top w:w="0" w:type="dxa"/>
            <w:left w:w="108" w:type="dxa"/>
            <w:bottom w:w="0" w:type="dxa"/>
            <w:right w:w="108" w:type="dxa"/>
          </w:tblCellMar>
        </w:tblPrEx>
        <w:trPr>
          <w:trHeight w:val="1408"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7952846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p>
        </w:tc>
        <w:tc>
          <w:tcPr>
            <w:tcW w:w="1385" w:type="dxa"/>
            <w:tcBorders>
              <w:top w:val="single" w:color="000000" w:sz="4" w:space="0"/>
              <w:left w:val="single" w:color="auto" w:sz="4" w:space="0"/>
              <w:bottom w:val="single" w:color="000000" w:sz="4" w:space="0"/>
              <w:right w:val="single" w:color="000000" w:sz="4" w:space="0"/>
            </w:tcBorders>
            <w:noWrap w:val="0"/>
            <w:vAlign w:val="center"/>
          </w:tcPr>
          <w:p w14:paraId="18641C8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教学资源</w:t>
            </w:r>
          </w:p>
          <w:p w14:paraId="641E359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（6分）</w:t>
            </w:r>
          </w:p>
        </w:tc>
        <w:tc>
          <w:tcPr>
            <w:tcW w:w="5733" w:type="dxa"/>
            <w:tcBorders>
              <w:top w:val="single" w:color="000000" w:sz="4" w:space="0"/>
              <w:left w:val="single" w:color="000000" w:sz="4" w:space="0"/>
              <w:bottom w:val="single" w:color="000000" w:sz="4" w:space="0"/>
              <w:right w:val="single" w:color="000000" w:sz="4" w:space="0"/>
            </w:tcBorders>
            <w:noWrap w:val="0"/>
            <w:vAlign w:val="center"/>
          </w:tcPr>
          <w:p w14:paraId="758BB364">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选用符合“双新”“双减”等文件要求的教学资源，包括但不限于国家中小学智慧教育平台、国家职业教育智慧教育平台、各级各类教育公共服务平台的教学资源，并根据教学需要和学生学情，动态调整所选用教学资源的形式和样态。</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36F45F7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A（5-6分）</w:t>
            </w:r>
          </w:p>
          <w:p w14:paraId="7A507ED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B（3-4分）</w:t>
            </w:r>
          </w:p>
          <w:p w14:paraId="03ACC8B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C（0-2分）</w:t>
            </w:r>
          </w:p>
        </w:tc>
      </w:tr>
      <w:tr w14:paraId="1DD104B0">
        <w:tblPrEx>
          <w:tblCellMar>
            <w:top w:w="0" w:type="dxa"/>
            <w:left w:w="108" w:type="dxa"/>
            <w:bottom w:w="0" w:type="dxa"/>
            <w:right w:w="108" w:type="dxa"/>
          </w:tblCellMar>
        </w:tblPrEx>
        <w:trPr>
          <w:trHeight w:val="274"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1F72899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p>
        </w:tc>
        <w:tc>
          <w:tcPr>
            <w:tcW w:w="1385" w:type="dxa"/>
            <w:tcBorders>
              <w:top w:val="single" w:color="000000" w:sz="4" w:space="0"/>
              <w:left w:val="single" w:color="auto" w:sz="4" w:space="0"/>
              <w:bottom w:val="single" w:color="000000" w:sz="4" w:space="0"/>
              <w:right w:val="single" w:color="000000" w:sz="4" w:space="0"/>
            </w:tcBorders>
            <w:noWrap w:val="0"/>
            <w:vAlign w:val="center"/>
          </w:tcPr>
          <w:p w14:paraId="655FE8E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教学方法</w:t>
            </w:r>
          </w:p>
          <w:p w14:paraId="04C2EA5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（6分）</w:t>
            </w:r>
          </w:p>
        </w:tc>
        <w:tc>
          <w:tcPr>
            <w:tcW w:w="5733" w:type="dxa"/>
            <w:tcBorders>
              <w:top w:val="single" w:color="000000" w:sz="4" w:space="0"/>
              <w:left w:val="single" w:color="000000" w:sz="4" w:space="0"/>
              <w:bottom w:val="single" w:color="000000" w:sz="4" w:space="0"/>
              <w:right w:val="single" w:color="000000" w:sz="4" w:space="0"/>
            </w:tcBorders>
            <w:noWrap w:val="0"/>
            <w:vAlign w:val="center"/>
          </w:tcPr>
          <w:p w14:paraId="767EB561">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能够根据学生学情，结合既定教学目标和内容，围绕“任务群”，综合所选用的教学资源，引导学生个性自主学习，帮助学生多元合作学习，促进学生小组探究学习。教学方法应运用合理，科学恰当。</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04197E7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A（5-6分）</w:t>
            </w:r>
          </w:p>
          <w:p w14:paraId="74EC008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B（3-4分）</w:t>
            </w:r>
          </w:p>
          <w:p w14:paraId="18B1F6D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C（0-2分）</w:t>
            </w:r>
          </w:p>
        </w:tc>
      </w:tr>
      <w:tr w14:paraId="377D053F">
        <w:tblPrEx>
          <w:tblCellMar>
            <w:top w:w="0" w:type="dxa"/>
            <w:left w:w="108" w:type="dxa"/>
            <w:bottom w:w="0" w:type="dxa"/>
            <w:right w:w="108" w:type="dxa"/>
          </w:tblCellMar>
        </w:tblPrEx>
        <w:trPr>
          <w:trHeight w:val="480" w:hRule="atLeast"/>
          <w:jc w:val="center"/>
        </w:trPr>
        <w:tc>
          <w:tcPr>
            <w:tcW w:w="1446" w:type="dxa"/>
            <w:vMerge w:val="restart"/>
            <w:tcBorders>
              <w:top w:val="single" w:color="auto" w:sz="4" w:space="0"/>
              <w:left w:val="single" w:color="auto" w:sz="4" w:space="0"/>
              <w:bottom w:val="single" w:color="auto" w:sz="4" w:space="0"/>
              <w:right w:val="single" w:color="auto" w:sz="4" w:space="0"/>
            </w:tcBorders>
            <w:noWrap w:val="0"/>
            <w:vAlign w:val="center"/>
          </w:tcPr>
          <w:p w14:paraId="2DC8191F">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过程与实施（30分）</w:t>
            </w:r>
          </w:p>
        </w:tc>
        <w:tc>
          <w:tcPr>
            <w:tcW w:w="1385" w:type="dxa"/>
            <w:tcBorders>
              <w:top w:val="single" w:color="000000" w:sz="4" w:space="0"/>
              <w:left w:val="single" w:color="auto" w:sz="4" w:space="0"/>
              <w:bottom w:val="single" w:color="000000" w:sz="4" w:space="0"/>
              <w:right w:val="single" w:color="000000" w:sz="4" w:space="0"/>
            </w:tcBorders>
            <w:noWrap w:val="0"/>
            <w:vAlign w:val="center"/>
          </w:tcPr>
          <w:p w14:paraId="54BBB01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流程设计</w:t>
            </w:r>
          </w:p>
          <w:p w14:paraId="54850914">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（6分）</w:t>
            </w:r>
          </w:p>
        </w:tc>
        <w:tc>
          <w:tcPr>
            <w:tcW w:w="5733" w:type="dxa"/>
            <w:tcBorders>
              <w:top w:val="single" w:color="000000" w:sz="4" w:space="0"/>
              <w:left w:val="single" w:color="000000" w:sz="4" w:space="0"/>
              <w:bottom w:val="single" w:color="000000" w:sz="4" w:space="0"/>
              <w:right w:val="single" w:color="000000" w:sz="4" w:space="0"/>
            </w:tcBorders>
            <w:noWrap w:val="0"/>
            <w:vAlign w:val="center"/>
          </w:tcPr>
          <w:p w14:paraId="39A06D2D">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能够体现先进教育思想和教学理念，遵循学生认知发展规律，符合“双减”对课内教学减负提质增效的实际要求，围绕教学内容和教学目标，合理组织各阶段教学活动。</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2DED186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A（5-6分）</w:t>
            </w:r>
          </w:p>
          <w:p w14:paraId="0F698A3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B（3-4分）</w:t>
            </w:r>
          </w:p>
          <w:p w14:paraId="02D8824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C（0-2分）</w:t>
            </w:r>
          </w:p>
        </w:tc>
      </w:tr>
      <w:tr w14:paraId="052FFEE1">
        <w:tblPrEx>
          <w:tblCellMar>
            <w:top w:w="0" w:type="dxa"/>
            <w:left w:w="108" w:type="dxa"/>
            <w:bottom w:w="0" w:type="dxa"/>
            <w:right w:w="108" w:type="dxa"/>
          </w:tblCellMar>
        </w:tblPrEx>
        <w:trPr>
          <w:trHeight w:val="2247"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45D7CCF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p>
        </w:tc>
        <w:tc>
          <w:tcPr>
            <w:tcW w:w="1385" w:type="dxa"/>
            <w:tcBorders>
              <w:top w:val="single" w:color="000000" w:sz="4" w:space="0"/>
              <w:left w:val="single" w:color="auto" w:sz="4" w:space="0"/>
              <w:bottom w:val="single" w:color="000000" w:sz="4" w:space="0"/>
              <w:right w:val="single" w:color="000000" w:sz="4" w:space="0"/>
            </w:tcBorders>
            <w:noWrap w:val="0"/>
            <w:vAlign w:val="center"/>
          </w:tcPr>
          <w:p w14:paraId="686A96C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组织实施</w:t>
            </w:r>
          </w:p>
          <w:p w14:paraId="1A9D999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（12分）</w:t>
            </w:r>
          </w:p>
        </w:tc>
        <w:tc>
          <w:tcPr>
            <w:tcW w:w="5733" w:type="dxa"/>
            <w:tcBorders>
              <w:top w:val="single" w:color="000000" w:sz="4" w:space="0"/>
              <w:left w:val="single" w:color="000000" w:sz="4" w:space="0"/>
              <w:bottom w:val="single" w:color="000000" w:sz="4" w:space="0"/>
              <w:right w:val="single" w:color="000000" w:sz="4" w:space="0"/>
            </w:tcBorders>
            <w:noWrap w:val="0"/>
            <w:vAlign w:val="center"/>
          </w:tcPr>
          <w:p w14:paraId="3BE941C2">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按照流程设计实施教学，突出教师主导、学生主体，关注学生核心素养的发展和教学目标的达成，创设真实问题情境，围绕“问题链”开展个性自主、多元合作、小组探究学习活动。能够根据学生的课堂行为反馈，及时调整教学节奏和活动方式，注重因材施教，及时捕捉有价值的教学资源并加以有效利用。</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7246277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A（9-12分）</w:t>
            </w:r>
          </w:p>
          <w:p w14:paraId="5747BAB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B（5-8分）</w:t>
            </w:r>
          </w:p>
          <w:p w14:paraId="3F1A3DF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C（0-4分）</w:t>
            </w:r>
          </w:p>
        </w:tc>
      </w:tr>
      <w:tr w14:paraId="51E70175">
        <w:tblPrEx>
          <w:tblCellMar>
            <w:top w:w="0" w:type="dxa"/>
            <w:left w:w="108" w:type="dxa"/>
            <w:bottom w:w="0" w:type="dxa"/>
            <w:right w:w="108" w:type="dxa"/>
          </w:tblCellMar>
        </w:tblPrEx>
        <w:trPr>
          <w:trHeight w:val="480"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6E1A620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p>
        </w:tc>
        <w:tc>
          <w:tcPr>
            <w:tcW w:w="1385" w:type="dxa"/>
            <w:tcBorders>
              <w:top w:val="single" w:color="000000" w:sz="4" w:space="0"/>
              <w:left w:val="single" w:color="auto" w:sz="4" w:space="0"/>
              <w:bottom w:val="single" w:color="000000" w:sz="4" w:space="0"/>
              <w:right w:val="single" w:color="000000" w:sz="4" w:space="0"/>
            </w:tcBorders>
            <w:noWrap w:val="0"/>
            <w:vAlign w:val="center"/>
          </w:tcPr>
          <w:p w14:paraId="5765848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师生交互</w:t>
            </w:r>
          </w:p>
          <w:p w14:paraId="7223826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（6分）</w:t>
            </w:r>
          </w:p>
        </w:tc>
        <w:tc>
          <w:tcPr>
            <w:tcW w:w="5733" w:type="dxa"/>
            <w:tcBorders>
              <w:top w:val="single" w:color="000000" w:sz="4" w:space="0"/>
              <w:left w:val="single" w:color="000000" w:sz="4" w:space="0"/>
              <w:bottom w:val="single" w:color="000000" w:sz="4" w:space="0"/>
              <w:right w:val="single" w:color="000000" w:sz="4" w:space="0"/>
            </w:tcBorders>
            <w:noWrap w:val="0"/>
            <w:vAlign w:val="center"/>
          </w:tcPr>
          <w:p w14:paraId="1CF312B6">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能够在师生、生生、人机互动过程中，实现协作、探究和意义建构，互动交流多维立体，课堂氛围生动活泼。</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4D50F14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A（5-6分）</w:t>
            </w:r>
          </w:p>
          <w:p w14:paraId="067B355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B（3-4分）</w:t>
            </w:r>
          </w:p>
          <w:p w14:paraId="0F913C6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C（0-2分）</w:t>
            </w:r>
          </w:p>
        </w:tc>
      </w:tr>
      <w:tr w14:paraId="37FBFA8E">
        <w:tblPrEx>
          <w:tblCellMar>
            <w:top w:w="0" w:type="dxa"/>
            <w:left w:w="108" w:type="dxa"/>
            <w:bottom w:w="0" w:type="dxa"/>
            <w:right w:w="108" w:type="dxa"/>
          </w:tblCellMar>
        </w:tblPrEx>
        <w:trPr>
          <w:trHeight w:val="480"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3DF8E3B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p>
        </w:tc>
        <w:tc>
          <w:tcPr>
            <w:tcW w:w="1385" w:type="dxa"/>
            <w:tcBorders>
              <w:top w:val="single" w:color="000000" w:sz="4" w:space="0"/>
              <w:left w:val="single" w:color="auto" w:sz="4" w:space="0"/>
              <w:bottom w:val="single" w:color="auto" w:sz="4" w:space="0"/>
              <w:right w:val="single" w:color="000000" w:sz="4" w:space="0"/>
            </w:tcBorders>
            <w:noWrap w:val="0"/>
            <w:vAlign w:val="center"/>
          </w:tcPr>
          <w:p w14:paraId="66E5D1F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教学素养</w:t>
            </w:r>
          </w:p>
          <w:p w14:paraId="17E0927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（6分）</w:t>
            </w:r>
          </w:p>
        </w:tc>
        <w:tc>
          <w:tcPr>
            <w:tcW w:w="5733" w:type="dxa"/>
            <w:tcBorders>
              <w:top w:val="single" w:color="000000" w:sz="4" w:space="0"/>
              <w:left w:val="single" w:color="000000" w:sz="4" w:space="0"/>
              <w:bottom w:val="single" w:color="auto" w:sz="4" w:space="0"/>
              <w:right w:val="single" w:color="000000" w:sz="4" w:space="0"/>
            </w:tcBorders>
            <w:noWrap w:val="0"/>
            <w:vAlign w:val="center"/>
          </w:tcPr>
          <w:p w14:paraId="0130A480">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能够展现新时代中小学教师良好的师德师风、专业素质、创新精神和数字素养。教学体态展现得体，教学语言精炼清晰，教学情感表达饱满，具有课堂教学艺术。</w:t>
            </w:r>
          </w:p>
        </w:tc>
        <w:tc>
          <w:tcPr>
            <w:tcW w:w="1399" w:type="dxa"/>
            <w:tcBorders>
              <w:top w:val="single" w:color="000000" w:sz="4" w:space="0"/>
              <w:left w:val="single" w:color="000000" w:sz="4" w:space="0"/>
              <w:bottom w:val="single" w:color="auto" w:sz="4" w:space="0"/>
              <w:right w:val="single" w:color="000000" w:sz="4" w:space="0"/>
            </w:tcBorders>
            <w:noWrap w:val="0"/>
            <w:vAlign w:val="center"/>
          </w:tcPr>
          <w:p w14:paraId="2871652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A（5-6分）</w:t>
            </w:r>
          </w:p>
          <w:p w14:paraId="786E049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B（3-4分）</w:t>
            </w:r>
          </w:p>
          <w:p w14:paraId="1DD78B8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C（0-2分）</w:t>
            </w:r>
          </w:p>
        </w:tc>
      </w:tr>
      <w:tr w14:paraId="63AB4455">
        <w:tblPrEx>
          <w:tblCellMar>
            <w:top w:w="0" w:type="dxa"/>
            <w:left w:w="108" w:type="dxa"/>
            <w:bottom w:w="0" w:type="dxa"/>
            <w:right w:w="108" w:type="dxa"/>
          </w:tblCellMar>
        </w:tblPrEx>
        <w:trPr>
          <w:trHeight w:val="480" w:hRule="atLeast"/>
          <w:jc w:val="center"/>
        </w:trPr>
        <w:tc>
          <w:tcPr>
            <w:tcW w:w="1446" w:type="dxa"/>
            <w:vMerge w:val="restart"/>
            <w:tcBorders>
              <w:top w:val="single" w:color="auto" w:sz="4" w:space="0"/>
              <w:left w:val="single" w:color="auto" w:sz="4" w:space="0"/>
              <w:bottom w:val="single" w:color="auto" w:sz="4" w:space="0"/>
              <w:right w:val="single" w:color="auto" w:sz="4" w:space="0"/>
            </w:tcBorders>
            <w:noWrap w:val="0"/>
            <w:vAlign w:val="center"/>
          </w:tcPr>
          <w:p w14:paraId="3B85DBE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成效与评价（20分）</w:t>
            </w:r>
          </w:p>
        </w:tc>
        <w:tc>
          <w:tcPr>
            <w:tcW w:w="1385" w:type="dxa"/>
            <w:tcBorders>
              <w:top w:val="single" w:color="auto" w:sz="4" w:space="0"/>
              <w:left w:val="single" w:color="auto" w:sz="4" w:space="0"/>
              <w:bottom w:val="single" w:color="auto" w:sz="4" w:space="0"/>
              <w:right w:val="single" w:color="auto" w:sz="4" w:space="0"/>
            </w:tcBorders>
            <w:noWrap w:val="0"/>
            <w:vAlign w:val="center"/>
          </w:tcPr>
          <w:p w14:paraId="508272E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学生体验</w:t>
            </w:r>
          </w:p>
          <w:p w14:paraId="6A41CDB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（4分）</w:t>
            </w:r>
          </w:p>
        </w:tc>
        <w:tc>
          <w:tcPr>
            <w:tcW w:w="5733" w:type="dxa"/>
            <w:tcBorders>
              <w:top w:val="single" w:color="auto" w:sz="4" w:space="0"/>
              <w:left w:val="single" w:color="auto" w:sz="4" w:space="0"/>
              <w:bottom w:val="single" w:color="auto" w:sz="4" w:space="0"/>
              <w:right w:val="single" w:color="auto" w:sz="4" w:space="0"/>
            </w:tcBorders>
            <w:noWrap w:val="0"/>
            <w:vAlign w:val="center"/>
          </w:tcPr>
          <w:p w14:paraId="2E15468E">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能够促使学生积极参与课堂教学活动，专注思考、探究和解决学习问题，全身心地投入到各项学习任务中，享受学习的快乐。</w:t>
            </w:r>
          </w:p>
        </w:tc>
        <w:tc>
          <w:tcPr>
            <w:tcW w:w="1399" w:type="dxa"/>
            <w:tcBorders>
              <w:top w:val="single" w:color="auto" w:sz="4" w:space="0"/>
              <w:left w:val="single" w:color="auto" w:sz="4" w:space="0"/>
              <w:bottom w:val="single" w:color="auto" w:sz="4" w:space="0"/>
              <w:right w:val="single" w:color="auto" w:sz="4" w:space="0"/>
            </w:tcBorders>
            <w:noWrap w:val="0"/>
            <w:vAlign w:val="center"/>
          </w:tcPr>
          <w:p w14:paraId="28F1C4D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A（4分）</w:t>
            </w:r>
          </w:p>
          <w:p w14:paraId="424AC7A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B（2-3分）</w:t>
            </w:r>
          </w:p>
          <w:p w14:paraId="6A0C3CA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C（0-1分）</w:t>
            </w:r>
          </w:p>
        </w:tc>
      </w:tr>
      <w:tr w14:paraId="1AB6055E">
        <w:tblPrEx>
          <w:tblCellMar>
            <w:top w:w="0" w:type="dxa"/>
            <w:left w:w="108" w:type="dxa"/>
            <w:bottom w:w="0" w:type="dxa"/>
            <w:right w:w="108" w:type="dxa"/>
          </w:tblCellMar>
        </w:tblPrEx>
        <w:trPr>
          <w:trHeight w:val="480"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6EE0BF56">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p>
        </w:tc>
        <w:tc>
          <w:tcPr>
            <w:tcW w:w="1385" w:type="dxa"/>
            <w:tcBorders>
              <w:top w:val="single" w:color="auto" w:sz="4" w:space="0"/>
              <w:left w:val="single" w:color="auto" w:sz="4" w:space="0"/>
              <w:bottom w:val="single" w:color="auto" w:sz="4" w:space="0"/>
              <w:right w:val="single" w:color="auto" w:sz="4" w:space="0"/>
            </w:tcBorders>
            <w:noWrap w:val="0"/>
            <w:vAlign w:val="center"/>
          </w:tcPr>
          <w:p w14:paraId="02B86A0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学生发展</w:t>
            </w:r>
          </w:p>
          <w:p w14:paraId="38218A8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（4分）</w:t>
            </w:r>
          </w:p>
        </w:tc>
        <w:tc>
          <w:tcPr>
            <w:tcW w:w="5733" w:type="dxa"/>
            <w:tcBorders>
              <w:top w:val="single" w:color="auto" w:sz="4" w:space="0"/>
              <w:left w:val="single" w:color="auto" w:sz="4" w:space="0"/>
              <w:bottom w:val="single" w:color="auto" w:sz="4" w:space="0"/>
              <w:right w:val="single" w:color="auto" w:sz="4" w:space="0"/>
            </w:tcBorders>
            <w:noWrap w:val="0"/>
            <w:vAlign w:val="center"/>
          </w:tcPr>
          <w:p w14:paraId="227CE722">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能够帮助学生形成正确的价值观念、必备品格和关键能力，培养学科核心素养，促进其实现个性、全面、高质量的创新发展。</w:t>
            </w:r>
          </w:p>
        </w:tc>
        <w:tc>
          <w:tcPr>
            <w:tcW w:w="1399" w:type="dxa"/>
            <w:tcBorders>
              <w:top w:val="single" w:color="auto" w:sz="4" w:space="0"/>
              <w:left w:val="single" w:color="auto" w:sz="4" w:space="0"/>
              <w:bottom w:val="single" w:color="auto" w:sz="4" w:space="0"/>
              <w:right w:val="single" w:color="auto" w:sz="4" w:space="0"/>
            </w:tcBorders>
            <w:noWrap w:val="0"/>
            <w:vAlign w:val="center"/>
          </w:tcPr>
          <w:p w14:paraId="34648AB3">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A（3-4分）</w:t>
            </w:r>
          </w:p>
          <w:p w14:paraId="7FE5224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B（1-2分）</w:t>
            </w:r>
          </w:p>
          <w:p w14:paraId="3AB553A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C（0-1分）</w:t>
            </w:r>
          </w:p>
        </w:tc>
      </w:tr>
      <w:tr w14:paraId="69D48EDA">
        <w:tblPrEx>
          <w:tblCellMar>
            <w:top w:w="0" w:type="dxa"/>
            <w:left w:w="108" w:type="dxa"/>
            <w:bottom w:w="0" w:type="dxa"/>
            <w:right w:w="108" w:type="dxa"/>
          </w:tblCellMar>
        </w:tblPrEx>
        <w:trPr>
          <w:trHeight w:val="480"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3311B421">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p>
        </w:tc>
        <w:tc>
          <w:tcPr>
            <w:tcW w:w="1385" w:type="dxa"/>
            <w:tcBorders>
              <w:top w:val="single" w:color="auto" w:sz="4" w:space="0"/>
              <w:left w:val="single" w:color="auto" w:sz="4" w:space="0"/>
              <w:bottom w:val="single" w:color="auto" w:sz="4" w:space="0"/>
              <w:right w:val="single" w:color="auto" w:sz="4" w:space="0"/>
            </w:tcBorders>
            <w:noWrap w:val="0"/>
            <w:vAlign w:val="center"/>
          </w:tcPr>
          <w:p w14:paraId="5D5F376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评价反馈</w:t>
            </w:r>
          </w:p>
          <w:p w14:paraId="5B55F01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（8分）</w:t>
            </w:r>
          </w:p>
        </w:tc>
        <w:tc>
          <w:tcPr>
            <w:tcW w:w="5733" w:type="dxa"/>
            <w:tcBorders>
              <w:top w:val="single" w:color="auto" w:sz="4" w:space="0"/>
              <w:left w:val="single" w:color="auto" w:sz="4" w:space="0"/>
              <w:bottom w:val="single" w:color="auto" w:sz="4" w:space="0"/>
              <w:right w:val="single" w:color="auto" w:sz="4" w:space="0"/>
            </w:tcBorders>
            <w:noWrap w:val="0"/>
            <w:vAlign w:val="center"/>
          </w:tcPr>
          <w:p w14:paraId="1CE05B3A">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能够以学科学业质量标准为导向，体现“教-学-评一致性”，科学选择评价方式，合理使用数字评价工具，对学生学科核心素养等方面进行综合评价，注重鼓励学生，激发学生学习积极性。</w:t>
            </w:r>
          </w:p>
        </w:tc>
        <w:tc>
          <w:tcPr>
            <w:tcW w:w="1399" w:type="dxa"/>
            <w:tcBorders>
              <w:top w:val="single" w:color="auto" w:sz="4" w:space="0"/>
              <w:left w:val="single" w:color="auto" w:sz="4" w:space="0"/>
              <w:bottom w:val="single" w:color="auto" w:sz="4" w:space="0"/>
              <w:right w:val="single" w:color="auto" w:sz="4" w:space="0"/>
            </w:tcBorders>
            <w:noWrap w:val="0"/>
            <w:vAlign w:val="center"/>
          </w:tcPr>
          <w:p w14:paraId="19E9EAD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A（6-8分）</w:t>
            </w:r>
          </w:p>
          <w:p w14:paraId="78419F37">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B（3-5分）</w:t>
            </w:r>
          </w:p>
          <w:p w14:paraId="584CF12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C（0-2分）</w:t>
            </w:r>
          </w:p>
        </w:tc>
      </w:tr>
      <w:tr w14:paraId="5BE6B7C4">
        <w:tblPrEx>
          <w:tblCellMar>
            <w:top w:w="0" w:type="dxa"/>
            <w:left w:w="108" w:type="dxa"/>
            <w:bottom w:w="0" w:type="dxa"/>
            <w:right w:w="108" w:type="dxa"/>
          </w:tblCellMar>
        </w:tblPrEx>
        <w:trPr>
          <w:trHeight w:val="480"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6CE118A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kern w:val="0"/>
                <w:sz w:val="24"/>
                <w:szCs w:val="24"/>
              </w:rPr>
            </w:pPr>
          </w:p>
        </w:tc>
        <w:tc>
          <w:tcPr>
            <w:tcW w:w="1385" w:type="dxa"/>
            <w:tcBorders>
              <w:top w:val="single" w:color="auto" w:sz="4" w:space="0"/>
              <w:left w:val="single" w:color="auto" w:sz="4" w:space="0"/>
              <w:bottom w:val="single" w:color="auto" w:sz="4" w:space="0"/>
              <w:right w:val="single" w:color="auto" w:sz="4" w:space="0"/>
            </w:tcBorders>
            <w:noWrap w:val="0"/>
            <w:vAlign w:val="center"/>
          </w:tcPr>
          <w:p w14:paraId="794FD7BC">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教学反思</w:t>
            </w:r>
          </w:p>
          <w:p w14:paraId="61D8676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（4分）</w:t>
            </w:r>
          </w:p>
        </w:tc>
        <w:tc>
          <w:tcPr>
            <w:tcW w:w="5733" w:type="dxa"/>
            <w:tcBorders>
              <w:top w:val="single" w:color="auto" w:sz="4" w:space="0"/>
              <w:left w:val="single" w:color="auto" w:sz="4" w:space="0"/>
              <w:bottom w:val="single" w:color="auto" w:sz="4" w:space="0"/>
              <w:right w:val="single" w:color="auto" w:sz="4" w:space="0"/>
            </w:tcBorders>
            <w:noWrap w:val="0"/>
            <w:vAlign w:val="center"/>
          </w:tcPr>
          <w:p w14:paraId="324D0597">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能够以课堂实际教学问题为导向，围绕教学理念、教学目标、教学内容、教学实施和教学评价等方面进行反思，问题捕捉准确，针对性强。</w:t>
            </w:r>
          </w:p>
        </w:tc>
        <w:tc>
          <w:tcPr>
            <w:tcW w:w="1399" w:type="dxa"/>
            <w:tcBorders>
              <w:top w:val="single" w:color="auto" w:sz="4" w:space="0"/>
              <w:left w:val="single" w:color="auto" w:sz="4" w:space="0"/>
              <w:bottom w:val="single" w:color="auto" w:sz="4" w:space="0"/>
              <w:right w:val="single" w:color="auto" w:sz="4" w:space="0"/>
            </w:tcBorders>
            <w:noWrap w:val="0"/>
            <w:vAlign w:val="center"/>
          </w:tcPr>
          <w:p w14:paraId="39C9F535">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A（3-4分）</w:t>
            </w:r>
          </w:p>
          <w:p w14:paraId="581E1B49">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B（1-2分）</w:t>
            </w:r>
          </w:p>
          <w:p w14:paraId="175E4502">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C（0-1分）</w:t>
            </w:r>
          </w:p>
        </w:tc>
      </w:tr>
    </w:tbl>
    <w:p w14:paraId="31D24675">
      <w:pPr>
        <w:pStyle w:val="2"/>
      </w:pPr>
    </w:p>
    <w:p w14:paraId="1D4EF313">
      <w:pPr>
        <w:widowControl/>
        <w:numPr>
          <w:ilvl w:val="-1"/>
          <w:numId w:val="0"/>
        </w:numPr>
        <w:spacing w:line="560" w:lineRule="exact"/>
        <w:jc w:val="center"/>
        <w:rPr>
          <w:rFonts w:hint="eastAsia" w:eastAsia="楷体"/>
          <w:b/>
          <w:bCs/>
          <w:color w:val="000000"/>
          <w:sz w:val="32"/>
          <w:szCs w:val="32"/>
        </w:rPr>
      </w:pPr>
      <w:r>
        <w:rPr>
          <w:rFonts w:hint="eastAsia" w:eastAsia="楷体"/>
          <w:b/>
          <w:bCs/>
          <w:color w:val="000000"/>
          <w:sz w:val="32"/>
          <w:szCs w:val="32"/>
          <w:lang w:val="en-US" w:eastAsia="zh-CN"/>
        </w:rPr>
        <w:t xml:space="preserve">2. </w:t>
      </w:r>
      <w:r>
        <w:rPr>
          <w:rFonts w:hint="eastAsia" w:eastAsia="楷体"/>
          <w:b/>
          <w:bCs/>
          <w:color w:val="000000"/>
          <w:sz w:val="32"/>
          <w:szCs w:val="32"/>
        </w:rPr>
        <w:t>技术赋能维度（20%）</w:t>
      </w:r>
    </w:p>
    <w:tbl>
      <w:tblPr>
        <w:tblStyle w:val="11"/>
        <w:tblW w:w="10050" w:type="dxa"/>
        <w:jc w:val="center"/>
        <w:tblLayout w:type="fixed"/>
        <w:tblCellMar>
          <w:top w:w="0" w:type="dxa"/>
          <w:left w:w="108" w:type="dxa"/>
          <w:bottom w:w="0" w:type="dxa"/>
          <w:right w:w="108" w:type="dxa"/>
        </w:tblCellMar>
      </w:tblPr>
      <w:tblGrid>
        <w:gridCol w:w="1304"/>
        <w:gridCol w:w="1741"/>
        <w:gridCol w:w="5505"/>
        <w:gridCol w:w="1500"/>
      </w:tblGrid>
      <w:tr w14:paraId="665686E9">
        <w:tblPrEx>
          <w:tblCellMar>
            <w:top w:w="0" w:type="dxa"/>
            <w:left w:w="108" w:type="dxa"/>
            <w:bottom w:w="0" w:type="dxa"/>
            <w:right w:w="108" w:type="dxa"/>
          </w:tblCellMar>
        </w:tblPrEx>
        <w:trPr>
          <w:trHeight w:val="480" w:hRule="atLeast"/>
          <w:jc w:val="center"/>
        </w:trPr>
        <w:tc>
          <w:tcPr>
            <w:tcW w:w="1304" w:type="dxa"/>
            <w:tcBorders>
              <w:top w:val="single" w:color="000000" w:sz="4" w:space="0"/>
              <w:left w:val="single" w:color="000000" w:sz="4" w:space="0"/>
              <w:bottom w:val="single" w:color="auto" w:sz="4" w:space="0"/>
              <w:right w:val="single" w:color="000000" w:sz="4" w:space="0"/>
            </w:tcBorders>
            <w:noWrap w:val="0"/>
            <w:vAlign w:val="center"/>
          </w:tcPr>
          <w:p w14:paraId="13D384CC">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维度</w:t>
            </w:r>
          </w:p>
        </w:tc>
        <w:tc>
          <w:tcPr>
            <w:tcW w:w="7246" w:type="dxa"/>
            <w:gridSpan w:val="2"/>
            <w:tcBorders>
              <w:top w:val="single" w:color="000000" w:sz="4" w:space="0"/>
              <w:left w:val="single" w:color="000000" w:sz="4" w:space="0"/>
              <w:bottom w:val="single" w:color="auto" w:sz="4" w:space="0"/>
              <w:right w:val="single" w:color="000000" w:sz="4" w:space="0"/>
            </w:tcBorders>
            <w:noWrap w:val="0"/>
            <w:vAlign w:val="center"/>
          </w:tcPr>
          <w:p w14:paraId="4D17F8E6">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评价要点描述</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5775490">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参考分值</w:t>
            </w:r>
          </w:p>
          <w:p w14:paraId="50093BA3">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等级</w:t>
            </w:r>
          </w:p>
        </w:tc>
      </w:tr>
      <w:tr w14:paraId="27A7CA2D">
        <w:tblPrEx>
          <w:tblCellMar>
            <w:top w:w="0" w:type="dxa"/>
            <w:left w:w="108" w:type="dxa"/>
            <w:bottom w:w="0" w:type="dxa"/>
            <w:right w:w="108" w:type="dxa"/>
          </w:tblCellMar>
        </w:tblPrEx>
        <w:trPr>
          <w:trHeight w:val="480" w:hRule="atLeast"/>
          <w:jc w:val="center"/>
        </w:trPr>
        <w:tc>
          <w:tcPr>
            <w:tcW w:w="1304" w:type="dxa"/>
            <w:tcBorders>
              <w:top w:val="single" w:color="auto" w:sz="4" w:space="0"/>
              <w:left w:val="single" w:color="auto" w:sz="4" w:space="0"/>
              <w:bottom w:val="single" w:color="auto" w:sz="4" w:space="0"/>
              <w:right w:val="single" w:color="auto" w:sz="4" w:space="0"/>
            </w:tcBorders>
            <w:noWrap w:val="0"/>
            <w:vAlign w:val="center"/>
          </w:tcPr>
          <w:p w14:paraId="0AAF4F6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教学目标人技融合</w:t>
            </w:r>
          </w:p>
          <w:p w14:paraId="35A8520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（10分）</w:t>
            </w:r>
          </w:p>
        </w:tc>
        <w:tc>
          <w:tcPr>
            <w:tcW w:w="7246" w:type="dxa"/>
            <w:gridSpan w:val="2"/>
            <w:tcBorders>
              <w:top w:val="single" w:color="auto" w:sz="4" w:space="0"/>
              <w:left w:val="single" w:color="auto" w:sz="4" w:space="0"/>
              <w:bottom w:val="single" w:color="auto" w:sz="4" w:space="0"/>
              <w:right w:val="single" w:color="auto" w:sz="4" w:space="0"/>
            </w:tcBorders>
            <w:noWrap w:val="0"/>
            <w:vAlign w:val="center"/>
          </w:tcPr>
          <w:p w14:paraId="7FA7A87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能够综合运用数智化工具和相关人工智能技术（例如：智能错题本、作业分析工具、多数据融合可视化分析工具等），长期收集和分析学生学情数据，将教师智慧与机器智能相结合，共同评估学生现有学科核心素养水平和发展需求，并据此确定教学目标。</w:t>
            </w:r>
          </w:p>
        </w:tc>
        <w:tc>
          <w:tcPr>
            <w:tcW w:w="1500" w:type="dxa"/>
            <w:tcBorders>
              <w:top w:val="single" w:color="000000" w:sz="4" w:space="0"/>
              <w:left w:val="single" w:color="auto" w:sz="4" w:space="0"/>
              <w:bottom w:val="single" w:color="000000" w:sz="4" w:space="0"/>
              <w:right w:val="single" w:color="000000" w:sz="4" w:space="0"/>
            </w:tcBorders>
            <w:noWrap w:val="0"/>
            <w:vAlign w:val="center"/>
          </w:tcPr>
          <w:p w14:paraId="6FEADF7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A（7-10分）</w:t>
            </w:r>
          </w:p>
          <w:p w14:paraId="193D9FB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B（3-6分）</w:t>
            </w:r>
          </w:p>
          <w:p w14:paraId="70C12CA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C（0-2分）</w:t>
            </w:r>
          </w:p>
        </w:tc>
      </w:tr>
      <w:tr w14:paraId="25E53AB8">
        <w:tblPrEx>
          <w:tblCellMar>
            <w:top w:w="0" w:type="dxa"/>
            <w:left w:w="108" w:type="dxa"/>
            <w:bottom w:w="0" w:type="dxa"/>
            <w:right w:w="108" w:type="dxa"/>
          </w:tblCellMar>
        </w:tblPrEx>
        <w:trPr>
          <w:trHeight w:val="480" w:hRule="atLeast"/>
          <w:jc w:val="center"/>
        </w:trPr>
        <w:tc>
          <w:tcPr>
            <w:tcW w:w="1304" w:type="dxa"/>
            <w:tcBorders>
              <w:top w:val="single" w:color="auto" w:sz="4" w:space="0"/>
              <w:left w:val="single" w:color="auto" w:sz="4" w:space="0"/>
              <w:bottom w:val="single" w:color="auto" w:sz="4" w:space="0"/>
              <w:right w:val="single" w:color="auto" w:sz="4" w:space="0"/>
            </w:tcBorders>
            <w:noWrap w:val="0"/>
            <w:vAlign w:val="center"/>
          </w:tcPr>
          <w:p w14:paraId="070B3F1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教学内容人技融合</w:t>
            </w:r>
          </w:p>
          <w:p w14:paraId="589839B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（20分）</w:t>
            </w:r>
          </w:p>
        </w:tc>
        <w:tc>
          <w:tcPr>
            <w:tcW w:w="7246" w:type="dxa"/>
            <w:gridSpan w:val="2"/>
            <w:tcBorders>
              <w:top w:val="single" w:color="auto" w:sz="4" w:space="0"/>
              <w:left w:val="single" w:color="auto" w:sz="4" w:space="0"/>
              <w:bottom w:val="single" w:color="auto" w:sz="4" w:space="0"/>
              <w:right w:val="single" w:color="auto" w:sz="4" w:space="0"/>
            </w:tcBorders>
            <w:noWrap w:val="0"/>
            <w:vAlign w:val="center"/>
          </w:tcPr>
          <w:p w14:paraId="386AFFB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能够在国家智慧教育公共服务平台、粤教翔云数字教材应用平台等各级各类教育公共服务平台上选用合适教育资源，同时综合运用数智化工具和相关人工智能技术（例如：知识图谱、智能助手、作业分析工具、多数据融合可视化分析工具、教育APP等），长期收集和分析教学内容及应用情况，将教师智慧与机器智能相结合，共同分析教学内容的知识特征、组织形式和呈现方式，围绕学科核心素养，结合学生发展需要，面向关键概念，以“大单元-任务群-问题链”的方式结构化重构教学内容。</w:t>
            </w:r>
          </w:p>
        </w:tc>
        <w:tc>
          <w:tcPr>
            <w:tcW w:w="1500" w:type="dxa"/>
            <w:tcBorders>
              <w:top w:val="single" w:color="000000" w:sz="4" w:space="0"/>
              <w:left w:val="single" w:color="auto" w:sz="4" w:space="0"/>
              <w:bottom w:val="single" w:color="000000" w:sz="4" w:space="0"/>
              <w:right w:val="single" w:color="000000" w:sz="4" w:space="0"/>
            </w:tcBorders>
            <w:noWrap w:val="0"/>
            <w:vAlign w:val="center"/>
          </w:tcPr>
          <w:p w14:paraId="543968B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A（14-20分）</w:t>
            </w:r>
          </w:p>
          <w:p w14:paraId="4D19533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B（7-13分）</w:t>
            </w:r>
          </w:p>
          <w:p w14:paraId="72DD348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C（0-6分）</w:t>
            </w:r>
          </w:p>
        </w:tc>
      </w:tr>
      <w:tr w14:paraId="7CA1E180">
        <w:tblPrEx>
          <w:tblCellMar>
            <w:top w:w="0" w:type="dxa"/>
            <w:left w:w="108" w:type="dxa"/>
            <w:bottom w:w="0" w:type="dxa"/>
            <w:right w:w="108" w:type="dxa"/>
          </w:tblCellMar>
        </w:tblPrEx>
        <w:trPr>
          <w:trHeight w:val="480" w:hRule="atLeast"/>
          <w:jc w:val="center"/>
        </w:trPr>
        <w:tc>
          <w:tcPr>
            <w:tcW w:w="1304" w:type="dxa"/>
            <w:vMerge w:val="restart"/>
            <w:tcBorders>
              <w:top w:val="single" w:color="auto" w:sz="4" w:space="0"/>
              <w:left w:val="single" w:color="auto" w:sz="4" w:space="0"/>
              <w:bottom w:val="single" w:color="auto" w:sz="4" w:space="0"/>
              <w:right w:val="single" w:color="auto" w:sz="4" w:space="0"/>
            </w:tcBorders>
            <w:noWrap w:val="0"/>
            <w:vAlign w:val="center"/>
          </w:tcPr>
          <w:p w14:paraId="6719255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教学活动人技融合</w:t>
            </w:r>
          </w:p>
          <w:p w14:paraId="2554104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（35分）</w:t>
            </w:r>
          </w:p>
        </w:tc>
        <w:tc>
          <w:tcPr>
            <w:tcW w:w="1741" w:type="dxa"/>
            <w:tcBorders>
              <w:top w:val="single" w:color="auto" w:sz="4" w:space="0"/>
              <w:left w:val="single" w:color="auto" w:sz="4" w:space="0"/>
              <w:bottom w:val="single" w:color="auto" w:sz="4" w:space="0"/>
              <w:right w:val="single" w:color="auto" w:sz="4" w:space="0"/>
            </w:tcBorders>
            <w:noWrap w:val="0"/>
            <w:vAlign w:val="center"/>
          </w:tcPr>
          <w:p w14:paraId="5120C88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人机协同</w:t>
            </w:r>
          </w:p>
          <w:p w14:paraId="0E82ADA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教学交互</w:t>
            </w:r>
          </w:p>
          <w:p w14:paraId="00551CA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（10分）</w:t>
            </w:r>
          </w:p>
        </w:tc>
        <w:tc>
          <w:tcPr>
            <w:tcW w:w="5505" w:type="dxa"/>
            <w:tcBorders>
              <w:top w:val="single" w:color="000000" w:sz="4" w:space="0"/>
              <w:left w:val="single" w:color="auto" w:sz="4" w:space="0"/>
              <w:bottom w:val="single" w:color="000000" w:sz="4" w:space="0"/>
              <w:right w:val="single" w:color="000000" w:sz="4" w:space="0"/>
            </w:tcBorders>
            <w:noWrap w:val="0"/>
            <w:vAlign w:val="center"/>
          </w:tcPr>
          <w:p w14:paraId="4D0BFB9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能够综合运用数智化工具和相关人工智能技术（例如：问卷工具、互动教学系统、多数据融合可视化分析工具、教育机器人或教学助手、教育APP等），引导学生主动参与形式多样的人机协同教学交互活动，改变教师单纯讲授知识形式，让学生有更多机会进行主动学习、自我反思、自我管理、自我评价，让学生在学习活动过程中形成认识自我、发现自我、提升自我的综合能力，促进学生知识建构和迁移，提升教学质量和师生数字素养。</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B820F9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A（7-10分）</w:t>
            </w:r>
          </w:p>
          <w:p w14:paraId="0EDE40D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B（3-6分）</w:t>
            </w:r>
          </w:p>
          <w:p w14:paraId="154077F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C（0-2分）</w:t>
            </w:r>
          </w:p>
        </w:tc>
      </w:tr>
      <w:tr w14:paraId="057F25FB">
        <w:tblPrEx>
          <w:tblCellMar>
            <w:top w:w="0" w:type="dxa"/>
            <w:left w:w="108" w:type="dxa"/>
            <w:bottom w:w="0" w:type="dxa"/>
            <w:right w:w="108" w:type="dxa"/>
          </w:tblCellMar>
        </w:tblPrEx>
        <w:trPr>
          <w:trHeight w:val="480" w:hRule="atLeast"/>
          <w:jc w:val="center"/>
        </w:trPr>
        <w:tc>
          <w:tcPr>
            <w:tcW w:w="1304" w:type="dxa"/>
            <w:vMerge w:val="continue"/>
            <w:tcBorders>
              <w:top w:val="single" w:color="auto" w:sz="4" w:space="0"/>
              <w:left w:val="single" w:color="auto" w:sz="4" w:space="0"/>
              <w:bottom w:val="single" w:color="auto" w:sz="4" w:space="0"/>
              <w:right w:val="single" w:color="auto" w:sz="4" w:space="0"/>
            </w:tcBorders>
            <w:noWrap w:val="0"/>
            <w:vAlign w:val="center"/>
          </w:tcPr>
          <w:p w14:paraId="4B48BE36">
            <w:pPr>
              <w:keepNext w:val="0"/>
              <w:keepLines w:val="0"/>
              <w:pageBreakBefore w:val="0"/>
              <w:widowControl w:val="0"/>
              <w:kinsoku/>
              <w:wordWrap/>
              <w:overflowPunct/>
              <w:topLinePunct w:val="0"/>
              <w:autoSpaceDE/>
              <w:autoSpaceDN/>
              <w:bidi w:val="0"/>
              <w:spacing w:line="280" w:lineRule="exact"/>
              <w:jc w:val="center"/>
              <w:textAlignment w:val="auto"/>
              <w:rPr>
                <w:rFonts w:hint="eastAsia" w:ascii="仿宋_GB2312" w:hAnsi="仿宋_GB2312" w:eastAsia="仿宋_GB2312" w:cs="仿宋_GB2312"/>
                <w:b/>
                <w:bCs/>
                <w:color w:val="auto"/>
                <w:kern w:val="0"/>
                <w:sz w:val="24"/>
                <w:szCs w:val="24"/>
              </w:rPr>
            </w:pPr>
          </w:p>
        </w:tc>
        <w:tc>
          <w:tcPr>
            <w:tcW w:w="1741" w:type="dxa"/>
            <w:tcBorders>
              <w:top w:val="single" w:color="000000" w:sz="4" w:space="0"/>
              <w:left w:val="single" w:color="auto" w:sz="4" w:space="0"/>
              <w:bottom w:val="single" w:color="000000" w:sz="4" w:space="0"/>
              <w:right w:val="single" w:color="000000" w:sz="4" w:space="0"/>
            </w:tcBorders>
            <w:noWrap w:val="0"/>
            <w:vAlign w:val="center"/>
          </w:tcPr>
          <w:p w14:paraId="3F1394C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改变课堂</w:t>
            </w:r>
          </w:p>
          <w:p w14:paraId="4B16A28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教学结构</w:t>
            </w:r>
          </w:p>
          <w:p w14:paraId="464A41C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（15分）</w:t>
            </w:r>
          </w:p>
        </w:tc>
        <w:tc>
          <w:tcPr>
            <w:tcW w:w="5505" w:type="dxa"/>
            <w:tcBorders>
              <w:top w:val="single" w:color="000000" w:sz="4" w:space="0"/>
              <w:left w:val="single" w:color="000000" w:sz="4" w:space="0"/>
              <w:bottom w:val="single" w:color="000000" w:sz="4" w:space="0"/>
              <w:right w:val="single" w:color="000000" w:sz="4" w:space="0"/>
            </w:tcBorders>
            <w:noWrap w:val="0"/>
            <w:vAlign w:val="center"/>
          </w:tcPr>
          <w:p w14:paraId="5B6CA44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能够综合运用数智化工具和相关人工智能技术（例如：网络学习空间、移动终端、多数据融合可视化分析工具等），助力学情诊断、资源推送、学习支持等过程，改变教师预设推进为主、学生反馈诊改为辅的线性演进课堂结构，赋能学生智慧生成，促进精准和有效教学。</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8D64C1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A（11-15分）</w:t>
            </w:r>
          </w:p>
          <w:p w14:paraId="68DD685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B（6-10分）</w:t>
            </w:r>
          </w:p>
          <w:p w14:paraId="6F7C938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C（0-5分）</w:t>
            </w:r>
          </w:p>
        </w:tc>
      </w:tr>
      <w:tr w14:paraId="630BE487">
        <w:tblPrEx>
          <w:tblCellMar>
            <w:top w:w="0" w:type="dxa"/>
            <w:left w:w="108" w:type="dxa"/>
            <w:bottom w:w="0" w:type="dxa"/>
            <w:right w:w="108" w:type="dxa"/>
          </w:tblCellMar>
        </w:tblPrEx>
        <w:trPr>
          <w:trHeight w:val="480" w:hRule="atLeast"/>
          <w:jc w:val="center"/>
        </w:trPr>
        <w:tc>
          <w:tcPr>
            <w:tcW w:w="1304" w:type="dxa"/>
            <w:vMerge w:val="continue"/>
            <w:tcBorders>
              <w:top w:val="single" w:color="auto" w:sz="4" w:space="0"/>
              <w:left w:val="single" w:color="auto" w:sz="4" w:space="0"/>
              <w:bottom w:val="single" w:color="auto" w:sz="4" w:space="0"/>
              <w:right w:val="single" w:color="auto" w:sz="4" w:space="0"/>
            </w:tcBorders>
            <w:noWrap w:val="0"/>
            <w:vAlign w:val="center"/>
          </w:tcPr>
          <w:p w14:paraId="5D9EF104">
            <w:pPr>
              <w:keepNext w:val="0"/>
              <w:keepLines w:val="0"/>
              <w:pageBreakBefore w:val="0"/>
              <w:widowControl w:val="0"/>
              <w:kinsoku/>
              <w:wordWrap/>
              <w:overflowPunct/>
              <w:topLinePunct w:val="0"/>
              <w:autoSpaceDE/>
              <w:autoSpaceDN/>
              <w:bidi w:val="0"/>
              <w:spacing w:line="280" w:lineRule="exact"/>
              <w:jc w:val="center"/>
              <w:textAlignment w:val="auto"/>
              <w:rPr>
                <w:rFonts w:hint="eastAsia" w:ascii="仿宋_GB2312" w:hAnsi="仿宋_GB2312" w:eastAsia="仿宋_GB2312" w:cs="仿宋_GB2312"/>
                <w:b/>
                <w:bCs/>
                <w:color w:val="auto"/>
                <w:kern w:val="0"/>
                <w:sz w:val="24"/>
                <w:szCs w:val="24"/>
              </w:rPr>
            </w:pPr>
          </w:p>
        </w:tc>
        <w:tc>
          <w:tcPr>
            <w:tcW w:w="1741" w:type="dxa"/>
            <w:tcBorders>
              <w:top w:val="single" w:color="000000" w:sz="4" w:space="0"/>
              <w:left w:val="single" w:color="auto" w:sz="4" w:space="0"/>
              <w:bottom w:val="single" w:color="000000" w:sz="4" w:space="0"/>
              <w:right w:val="single" w:color="000000" w:sz="4" w:space="0"/>
            </w:tcBorders>
            <w:noWrap w:val="0"/>
            <w:vAlign w:val="center"/>
          </w:tcPr>
          <w:p w14:paraId="05E19E7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动态采取</w:t>
            </w:r>
          </w:p>
          <w:p w14:paraId="7BF6AE2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教学措施</w:t>
            </w:r>
          </w:p>
          <w:p w14:paraId="7AC3E58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（10分）</w:t>
            </w:r>
          </w:p>
        </w:tc>
        <w:tc>
          <w:tcPr>
            <w:tcW w:w="5505" w:type="dxa"/>
            <w:tcBorders>
              <w:top w:val="single" w:color="000000" w:sz="4" w:space="0"/>
              <w:left w:val="single" w:color="000000" w:sz="4" w:space="0"/>
              <w:bottom w:val="single" w:color="000000" w:sz="4" w:space="0"/>
              <w:right w:val="single" w:color="000000" w:sz="4" w:space="0"/>
            </w:tcBorders>
            <w:noWrap w:val="0"/>
            <w:vAlign w:val="center"/>
          </w:tcPr>
          <w:p w14:paraId="51A9DE4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能够综合运用数智化工具和相关人工智能技术（例如：问卷工具、互动教学系统、多数据融合可视化分析工具、教育APP等），实时或延迟分析学生的行为状态、知识接受、情感态度等方面情况，根据学生整体情况和个体差异，动态采取教学措施，并在课堂教学中弹性调适，促进教师主导、学生主体的大规模因材施教。</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3B490F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A（7-10分）</w:t>
            </w:r>
          </w:p>
          <w:p w14:paraId="1D4DC93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B（3-6分）</w:t>
            </w:r>
          </w:p>
          <w:p w14:paraId="513AECC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C（0-2分）</w:t>
            </w:r>
          </w:p>
        </w:tc>
      </w:tr>
      <w:tr w14:paraId="4B101620">
        <w:tblPrEx>
          <w:tblCellMar>
            <w:top w:w="0" w:type="dxa"/>
            <w:left w:w="108" w:type="dxa"/>
            <w:bottom w:w="0" w:type="dxa"/>
            <w:right w:w="108" w:type="dxa"/>
          </w:tblCellMar>
        </w:tblPrEx>
        <w:trPr>
          <w:trHeight w:val="2111" w:hRule="atLeast"/>
          <w:jc w:val="center"/>
        </w:trPr>
        <w:tc>
          <w:tcPr>
            <w:tcW w:w="1304" w:type="dxa"/>
            <w:vMerge w:val="restart"/>
            <w:tcBorders>
              <w:top w:val="single" w:color="auto" w:sz="4" w:space="0"/>
              <w:left w:val="single" w:color="000000" w:sz="4" w:space="0"/>
              <w:right w:val="single" w:color="000000" w:sz="4" w:space="0"/>
            </w:tcBorders>
            <w:noWrap w:val="0"/>
            <w:vAlign w:val="center"/>
          </w:tcPr>
          <w:p w14:paraId="04BA432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教学评价</w:t>
            </w:r>
          </w:p>
          <w:p w14:paraId="44C4705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人技融合</w:t>
            </w:r>
          </w:p>
          <w:p w14:paraId="586E333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（20分）</w:t>
            </w:r>
          </w:p>
        </w:tc>
        <w:tc>
          <w:tcPr>
            <w:tcW w:w="1741" w:type="dxa"/>
            <w:tcBorders>
              <w:top w:val="single" w:color="000000" w:sz="4" w:space="0"/>
              <w:left w:val="single" w:color="000000" w:sz="4" w:space="0"/>
              <w:bottom w:val="single" w:color="000000" w:sz="4" w:space="0"/>
              <w:right w:val="single" w:color="000000" w:sz="4" w:space="0"/>
            </w:tcBorders>
            <w:noWrap w:val="0"/>
            <w:vAlign w:val="center"/>
          </w:tcPr>
          <w:p w14:paraId="23C4621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学业质量</w:t>
            </w:r>
          </w:p>
          <w:p w14:paraId="4DEF328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（12分）</w:t>
            </w:r>
          </w:p>
        </w:tc>
        <w:tc>
          <w:tcPr>
            <w:tcW w:w="5505" w:type="dxa"/>
            <w:tcBorders>
              <w:top w:val="single" w:color="000000" w:sz="4" w:space="0"/>
              <w:left w:val="single" w:color="000000" w:sz="4" w:space="0"/>
              <w:bottom w:val="single" w:color="000000" w:sz="4" w:space="0"/>
              <w:right w:val="single" w:color="000000" w:sz="4" w:space="0"/>
            </w:tcBorders>
            <w:noWrap w:val="0"/>
            <w:vAlign w:val="center"/>
          </w:tcPr>
          <w:p w14:paraId="0D70357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能够根据学科学业质量标准，反映学科核心素养要求，通过综合运用数智化工具和相关人工智能技术（例如：问卷工具、互动教学系统、多数据融合可视化分析工具、教育机器人或教学助手、教育APP等），对课堂教学中实时产生和积累的学业数据、言语数据、行为数据等进行全面采集和融合分析，结合教师价值判断，人机协同评价学生学业水平。</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E4AD18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A（9-12分）</w:t>
            </w:r>
          </w:p>
          <w:p w14:paraId="5F38B25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B（5-8分）</w:t>
            </w:r>
          </w:p>
          <w:p w14:paraId="2B93951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C（0-4分）</w:t>
            </w:r>
          </w:p>
        </w:tc>
      </w:tr>
      <w:tr w14:paraId="7AB2AB06">
        <w:tblPrEx>
          <w:tblCellMar>
            <w:top w:w="0" w:type="dxa"/>
            <w:left w:w="108" w:type="dxa"/>
            <w:bottom w:w="0" w:type="dxa"/>
            <w:right w:w="108" w:type="dxa"/>
          </w:tblCellMar>
        </w:tblPrEx>
        <w:trPr>
          <w:trHeight w:val="480" w:hRule="atLeast"/>
          <w:jc w:val="center"/>
        </w:trPr>
        <w:tc>
          <w:tcPr>
            <w:tcW w:w="1304" w:type="dxa"/>
            <w:vMerge w:val="continue"/>
            <w:tcBorders>
              <w:left w:val="single" w:color="000000" w:sz="4" w:space="0"/>
              <w:bottom w:val="single" w:color="auto" w:sz="4" w:space="0"/>
              <w:right w:val="single" w:color="000000" w:sz="4" w:space="0"/>
            </w:tcBorders>
            <w:noWrap w:val="0"/>
            <w:vAlign w:val="center"/>
          </w:tcPr>
          <w:p w14:paraId="34E929A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p>
        </w:tc>
        <w:tc>
          <w:tcPr>
            <w:tcW w:w="1741" w:type="dxa"/>
            <w:tcBorders>
              <w:top w:val="single" w:color="000000" w:sz="4" w:space="0"/>
              <w:left w:val="single" w:color="000000" w:sz="4" w:space="0"/>
              <w:bottom w:val="single" w:color="auto" w:sz="4" w:space="0"/>
              <w:right w:val="single" w:color="000000" w:sz="4" w:space="0"/>
            </w:tcBorders>
            <w:noWrap w:val="0"/>
            <w:vAlign w:val="center"/>
          </w:tcPr>
          <w:p w14:paraId="1E1D8AE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育人成效</w:t>
            </w:r>
          </w:p>
          <w:p w14:paraId="68783C9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（8分）</w:t>
            </w:r>
          </w:p>
        </w:tc>
        <w:tc>
          <w:tcPr>
            <w:tcW w:w="5505" w:type="dxa"/>
            <w:tcBorders>
              <w:top w:val="single" w:color="000000" w:sz="4" w:space="0"/>
              <w:left w:val="single" w:color="000000" w:sz="4" w:space="0"/>
              <w:bottom w:val="single" w:color="000000" w:sz="4" w:space="0"/>
              <w:right w:val="single" w:color="000000" w:sz="4" w:space="0"/>
            </w:tcBorders>
            <w:noWrap w:val="0"/>
            <w:vAlign w:val="center"/>
          </w:tcPr>
          <w:p w14:paraId="3C8BCA7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能够综合运用数智化工具和相关人工智能技术（例如：问卷工具、互动教学系统、多数据融合可视化分析工具、教育机器人或教学助手、教育APP等），记录和分析学生的学情状况、情感态度、价值认同等情况，协同评价学生的价值观念、必备品格和关键能力，助力提升育人成效。</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64E9A0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A（6-8分）</w:t>
            </w:r>
          </w:p>
          <w:p w14:paraId="700C948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B（3-5分）</w:t>
            </w:r>
          </w:p>
          <w:p w14:paraId="613B876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C（0-2分）</w:t>
            </w:r>
          </w:p>
        </w:tc>
      </w:tr>
      <w:tr w14:paraId="26A717FE">
        <w:tblPrEx>
          <w:tblCellMar>
            <w:top w:w="0" w:type="dxa"/>
            <w:left w:w="108" w:type="dxa"/>
            <w:bottom w:w="0" w:type="dxa"/>
            <w:right w:w="108" w:type="dxa"/>
          </w:tblCellMar>
        </w:tblPrEx>
        <w:trPr>
          <w:trHeight w:val="480" w:hRule="atLeast"/>
          <w:jc w:val="center"/>
        </w:trPr>
        <w:tc>
          <w:tcPr>
            <w:tcW w:w="1304" w:type="dxa"/>
            <w:vMerge w:val="restart"/>
            <w:tcBorders>
              <w:top w:val="single" w:color="auto" w:sz="4" w:space="0"/>
              <w:left w:val="single" w:color="auto" w:sz="4" w:space="0"/>
              <w:bottom w:val="single" w:color="auto" w:sz="4" w:space="0"/>
              <w:right w:val="single" w:color="auto" w:sz="4" w:space="0"/>
            </w:tcBorders>
            <w:noWrap w:val="0"/>
            <w:vAlign w:val="center"/>
          </w:tcPr>
          <w:p w14:paraId="2FF36C2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教师</w:t>
            </w:r>
          </w:p>
          <w:p w14:paraId="6B89BE9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数字素养</w:t>
            </w:r>
          </w:p>
          <w:p w14:paraId="7115B58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（15分）</w:t>
            </w:r>
          </w:p>
        </w:tc>
        <w:tc>
          <w:tcPr>
            <w:tcW w:w="1741" w:type="dxa"/>
            <w:tcBorders>
              <w:top w:val="single" w:color="auto" w:sz="4" w:space="0"/>
              <w:left w:val="single" w:color="auto" w:sz="4" w:space="0"/>
              <w:bottom w:val="single" w:color="auto" w:sz="4" w:space="0"/>
              <w:right w:val="single" w:color="auto" w:sz="4" w:space="0"/>
            </w:tcBorders>
            <w:noWrap w:val="0"/>
            <w:vAlign w:val="center"/>
          </w:tcPr>
          <w:p w14:paraId="579A1A6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数智融合意识</w:t>
            </w:r>
          </w:p>
          <w:p w14:paraId="17AD0B5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（5分）</w:t>
            </w:r>
          </w:p>
        </w:tc>
        <w:tc>
          <w:tcPr>
            <w:tcW w:w="5505" w:type="dxa"/>
            <w:tcBorders>
              <w:top w:val="single" w:color="000000" w:sz="4" w:space="0"/>
              <w:left w:val="single" w:color="auto" w:sz="4" w:space="0"/>
              <w:bottom w:val="single" w:color="000000" w:sz="4" w:space="0"/>
              <w:right w:val="single" w:color="000000" w:sz="4" w:space="0"/>
            </w:tcBorders>
            <w:noWrap w:val="0"/>
            <w:vAlign w:val="center"/>
          </w:tcPr>
          <w:p w14:paraId="7CA36C3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了解课堂教学数字化转型的内涵，具备将机器数据智能与教师教学智慧相结合，并开展课堂数智化教学创新的意识。</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E38CFF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A（4-5分）</w:t>
            </w:r>
          </w:p>
          <w:p w14:paraId="1C4E939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B（2-3分）</w:t>
            </w:r>
          </w:p>
          <w:p w14:paraId="1F321D1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C（0-1分）</w:t>
            </w:r>
          </w:p>
        </w:tc>
      </w:tr>
      <w:tr w14:paraId="1E53A78C">
        <w:tblPrEx>
          <w:tblCellMar>
            <w:top w:w="0" w:type="dxa"/>
            <w:left w:w="108" w:type="dxa"/>
            <w:bottom w:w="0" w:type="dxa"/>
            <w:right w:w="108" w:type="dxa"/>
          </w:tblCellMar>
        </w:tblPrEx>
        <w:trPr>
          <w:trHeight w:val="448" w:hRule="atLeast"/>
          <w:jc w:val="center"/>
        </w:trPr>
        <w:tc>
          <w:tcPr>
            <w:tcW w:w="1304" w:type="dxa"/>
            <w:vMerge w:val="continue"/>
            <w:tcBorders>
              <w:top w:val="single" w:color="auto" w:sz="4" w:space="0"/>
              <w:left w:val="single" w:color="auto" w:sz="4" w:space="0"/>
              <w:bottom w:val="single" w:color="auto" w:sz="4" w:space="0"/>
              <w:right w:val="single" w:color="auto" w:sz="4" w:space="0"/>
            </w:tcBorders>
            <w:noWrap w:val="0"/>
            <w:vAlign w:val="center"/>
          </w:tcPr>
          <w:p w14:paraId="143C08E4">
            <w:pPr>
              <w:keepNext w:val="0"/>
              <w:keepLines w:val="0"/>
              <w:pageBreakBefore w:val="0"/>
              <w:widowControl w:val="0"/>
              <w:kinsoku/>
              <w:wordWrap/>
              <w:overflowPunct/>
              <w:topLinePunct w:val="0"/>
              <w:autoSpaceDE/>
              <w:autoSpaceDN/>
              <w:bidi w:val="0"/>
              <w:spacing w:line="280" w:lineRule="exact"/>
              <w:jc w:val="center"/>
              <w:textAlignment w:val="auto"/>
              <w:rPr>
                <w:rFonts w:hint="eastAsia" w:ascii="仿宋_GB2312" w:hAnsi="仿宋_GB2312" w:eastAsia="仿宋_GB2312" w:cs="仿宋_GB2312"/>
                <w:b/>
                <w:bCs/>
                <w:color w:val="auto"/>
                <w:kern w:val="0"/>
                <w:sz w:val="24"/>
                <w:szCs w:val="24"/>
              </w:rPr>
            </w:pPr>
          </w:p>
        </w:tc>
        <w:tc>
          <w:tcPr>
            <w:tcW w:w="1741" w:type="dxa"/>
            <w:tcBorders>
              <w:top w:val="single" w:color="auto" w:sz="4" w:space="0"/>
              <w:left w:val="single" w:color="auto" w:sz="4" w:space="0"/>
              <w:bottom w:val="single" w:color="auto" w:sz="4" w:space="0"/>
              <w:right w:val="single" w:color="auto" w:sz="4" w:space="0"/>
            </w:tcBorders>
            <w:noWrap w:val="0"/>
            <w:vAlign w:val="center"/>
          </w:tcPr>
          <w:p w14:paraId="6E535A5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人机协同思维</w:t>
            </w:r>
          </w:p>
          <w:p w14:paraId="387958E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（5分）</w:t>
            </w:r>
          </w:p>
        </w:tc>
        <w:tc>
          <w:tcPr>
            <w:tcW w:w="5505" w:type="dxa"/>
            <w:tcBorders>
              <w:top w:val="single" w:color="000000" w:sz="4" w:space="0"/>
              <w:left w:val="single" w:color="auto" w:sz="4" w:space="0"/>
              <w:bottom w:val="single" w:color="000000" w:sz="4" w:space="0"/>
              <w:right w:val="single" w:color="000000" w:sz="4" w:space="0"/>
            </w:tcBorders>
            <w:noWrap w:val="0"/>
            <w:vAlign w:val="center"/>
          </w:tcPr>
          <w:p w14:paraId="0C62B1A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具备人机协同教学设计和教学实施的思维与方法，能够发挥数智化工具和相关人工智能技术在知识传授、能力培养、素养提升中的功能作用，并凸显自身育人价值及功能属性。</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A94318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A（4-5分）</w:t>
            </w:r>
          </w:p>
          <w:p w14:paraId="09CCBB0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B（2-3分）</w:t>
            </w:r>
          </w:p>
          <w:p w14:paraId="2E5DC04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C（0-1分）</w:t>
            </w:r>
          </w:p>
        </w:tc>
      </w:tr>
      <w:tr w14:paraId="2AFDB025">
        <w:tblPrEx>
          <w:tblCellMar>
            <w:top w:w="0" w:type="dxa"/>
            <w:left w:w="108" w:type="dxa"/>
            <w:bottom w:w="0" w:type="dxa"/>
            <w:right w:w="108" w:type="dxa"/>
          </w:tblCellMar>
        </w:tblPrEx>
        <w:trPr>
          <w:trHeight w:val="480" w:hRule="atLeast"/>
          <w:jc w:val="center"/>
        </w:trPr>
        <w:tc>
          <w:tcPr>
            <w:tcW w:w="1304" w:type="dxa"/>
            <w:vMerge w:val="continue"/>
            <w:tcBorders>
              <w:top w:val="single" w:color="auto" w:sz="4" w:space="0"/>
              <w:left w:val="single" w:color="000000" w:sz="4" w:space="0"/>
              <w:bottom w:val="single" w:color="auto" w:sz="4" w:space="0"/>
              <w:right w:val="single" w:color="000000" w:sz="4" w:space="0"/>
            </w:tcBorders>
            <w:noWrap w:val="0"/>
            <w:vAlign w:val="center"/>
          </w:tcPr>
          <w:p w14:paraId="3C0D6295">
            <w:pPr>
              <w:keepNext w:val="0"/>
              <w:keepLines w:val="0"/>
              <w:pageBreakBefore w:val="0"/>
              <w:widowControl w:val="0"/>
              <w:kinsoku/>
              <w:wordWrap/>
              <w:overflowPunct/>
              <w:topLinePunct w:val="0"/>
              <w:autoSpaceDE/>
              <w:autoSpaceDN/>
              <w:bidi w:val="0"/>
              <w:spacing w:line="280" w:lineRule="exact"/>
              <w:jc w:val="center"/>
              <w:textAlignment w:val="auto"/>
              <w:rPr>
                <w:rFonts w:hint="eastAsia" w:ascii="仿宋_GB2312" w:hAnsi="仿宋_GB2312" w:eastAsia="仿宋_GB2312" w:cs="仿宋_GB2312"/>
                <w:b/>
                <w:bCs/>
                <w:color w:val="auto"/>
                <w:kern w:val="0"/>
                <w:sz w:val="24"/>
                <w:szCs w:val="24"/>
              </w:rPr>
            </w:pPr>
          </w:p>
        </w:tc>
        <w:tc>
          <w:tcPr>
            <w:tcW w:w="1741" w:type="dxa"/>
            <w:tcBorders>
              <w:top w:val="single" w:color="auto" w:sz="4" w:space="0"/>
              <w:left w:val="single" w:color="000000" w:sz="4" w:space="0"/>
              <w:bottom w:val="single" w:color="auto" w:sz="4" w:space="0"/>
              <w:right w:val="single" w:color="000000" w:sz="4" w:space="0"/>
            </w:tcBorders>
            <w:noWrap w:val="0"/>
            <w:vAlign w:val="center"/>
          </w:tcPr>
          <w:p w14:paraId="0810A4C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数字应用能力</w:t>
            </w:r>
          </w:p>
          <w:p w14:paraId="3291665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（5分）</w:t>
            </w:r>
          </w:p>
        </w:tc>
        <w:tc>
          <w:tcPr>
            <w:tcW w:w="5505" w:type="dxa"/>
            <w:tcBorders>
              <w:top w:val="single" w:color="000000" w:sz="4" w:space="0"/>
              <w:left w:val="single" w:color="000000" w:sz="4" w:space="0"/>
              <w:bottom w:val="single" w:color="000000" w:sz="4" w:space="0"/>
              <w:right w:val="single" w:color="000000" w:sz="4" w:space="0"/>
            </w:tcBorders>
            <w:noWrap w:val="0"/>
            <w:vAlign w:val="center"/>
          </w:tcPr>
          <w:p w14:paraId="544D55F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掌握数智技术资源的选择与开发技能，具备应用数智技术资源创新课堂教学设计、实施、评价及育人的能力。</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17DFC4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A（4-5分）</w:t>
            </w:r>
          </w:p>
          <w:p w14:paraId="75BFF77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B（2-3分）</w:t>
            </w:r>
          </w:p>
          <w:p w14:paraId="3F2D491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C（0-1分）</w:t>
            </w:r>
          </w:p>
        </w:tc>
      </w:tr>
    </w:tbl>
    <w:p w14:paraId="4E0253F9">
      <w:pPr>
        <w:pStyle w:val="2"/>
        <w:numPr>
          <w:ilvl w:val="-1"/>
          <w:numId w:val="0"/>
        </w:numPr>
        <w:ind w:left="0" w:leftChars="0"/>
      </w:pPr>
    </w:p>
    <w:p w14:paraId="015265DF">
      <w:pPr>
        <w:widowControl/>
        <w:numPr>
          <w:ilvl w:val="-1"/>
          <w:numId w:val="0"/>
        </w:numPr>
        <w:spacing w:line="560" w:lineRule="exact"/>
        <w:ind w:firstLine="0" w:firstLineChars="0"/>
        <w:jc w:val="center"/>
        <w:rPr>
          <w:rFonts w:hint="eastAsia" w:eastAsia="楷体"/>
          <w:b/>
          <w:bCs/>
          <w:color w:val="000000"/>
          <w:sz w:val="32"/>
          <w:szCs w:val="32"/>
        </w:rPr>
      </w:pPr>
      <w:r>
        <w:rPr>
          <w:rFonts w:hint="eastAsia" w:eastAsia="楷体"/>
          <w:b/>
          <w:bCs/>
          <w:color w:val="000000"/>
          <w:sz w:val="32"/>
          <w:szCs w:val="32"/>
          <w:lang w:val="en-US" w:eastAsia="zh-CN"/>
        </w:rPr>
        <w:t>3.</w:t>
      </w:r>
      <w:r>
        <w:rPr>
          <w:rFonts w:hint="eastAsia" w:eastAsia="楷体"/>
          <w:b/>
          <w:bCs/>
          <w:color w:val="000000"/>
          <w:sz w:val="32"/>
          <w:szCs w:val="32"/>
        </w:rPr>
        <w:t>特色创新维度（10%）</w:t>
      </w:r>
    </w:p>
    <w:tbl>
      <w:tblPr>
        <w:tblStyle w:val="11"/>
        <w:tblW w:w="10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1672"/>
        <w:gridCol w:w="5561"/>
        <w:gridCol w:w="1510"/>
      </w:tblGrid>
      <w:tr w14:paraId="7FFB7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350" w:type="dxa"/>
            <w:noWrap w:val="0"/>
            <w:vAlign w:val="center"/>
          </w:tcPr>
          <w:p w14:paraId="2A9C29F1">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维度</w:t>
            </w:r>
          </w:p>
        </w:tc>
        <w:tc>
          <w:tcPr>
            <w:tcW w:w="1672" w:type="dxa"/>
            <w:noWrap w:val="0"/>
            <w:vAlign w:val="center"/>
          </w:tcPr>
          <w:p w14:paraId="7803513A">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指标</w:t>
            </w:r>
          </w:p>
        </w:tc>
        <w:tc>
          <w:tcPr>
            <w:tcW w:w="5561" w:type="dxa"/>
            <w:noWrap w:val="0"/>
            <w:vAlign w:val="center"/>
          </w:tcPr>
          <w:p w14:paraId="33038195">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评价要点描述</w:t>
            </w:r>
          </w:p>
        </w:tc>
        <w:tc>
          <w:tcPr>
            <w:tcW w:w="1510" w:type="dxa"/>
            <w:noWrap w:val="0"/>
            <w:vAlign w:val="center"/>
          </w:tcPr>
          <w:p w14:paraId="102C4D97">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参考分值</w:t>
            </w:r>
          </w:p>
          <w:p w14:paraId="34381109">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4"/>
                <w:szCs w:val="24"/>
              </w:rPr>
            </w:pPr>
            <w:r>
              <w:rPr>
                <w:rFonts w:hint="eastAsia" w:ascii="黑体" w:hAnsi="黑体" w:eastAsia="黑体" w:cs="仿宋"/>
                <w:b w:val="0"/>
                <w:bCs w:val="0"/>
                <w:color w:val="auto"/>
                <w:sz w:val="24"/>
                <w:szCs w:val="24"/>
              </w:rPr>
              <w:t>等级</w:t>
            </w:r>
          </w:p>
        </w:tc>
      </w:tr>
      <w:tr w14:paraId="5E04E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350" w:type="dxa"/>
            <w:vMerge w:val="restart"/>
            <w:noWrap w:val="0"/>
            <w:vAlign w:val="center"/>
          </w:tcPr>
          <w:p w14:paraId="49E9FD9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特色鲜明</w:t>
            </w:r>
          </w:p>
          <w:p w14:paraId="70406A1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（50分）</w:t>
            </w:r>
          </w:p>
          <w:p w14:paraId="30DFA9A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p>
        </w:tc>
        <w:tc>
          <w:tcPr>
            <w:tcW w:w="1672" w:type="dxa"/>
            <w:noWrap w:val="0"/>
            <w:vAlign w:val="center"/>
          </w:tcPr>
          <w:p w14:paraId="6931ED0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理念特色</w:t>
            </w:r>
          </w:p>
          <w:p w14:paraId="3D98D80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（20分）</w:t>
            </w:r>
          </w:p>
        </w:tc>
        <w:tc>
          <w:tcPr>
            <w:tcW w:w="5561" w:type="dxa"/>
            <w:noWrap w:val="0"/>
            <w:vAlign w:val="center"/>
          </w:tcPr>
          <w:p w14:paraId="4068F7B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能够依据学科核心素养，对标学生实际需要，选择适切的教育教学理念（如大单元、项目式、跨学科、混合式、多师协同等），积极开展教学改革，案例特色鲜明。</w:t>
            </w:r>
          </w:p>
        </w:tc>
        <w:tc>
          <w:tcPr>
            <w:tcW w:w="1510" w:type="dxa"/>
            <w:noWrap w:val="0"/>
            <w:vAlign w:val="center"/>
          </w:tcPr>
          <w:p w14:paraId="23312B1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A（14-20分）</w:t>
            </w:r>
          </w:p>
          <w:p w14:paraId="2668AF9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B（7-13分）</w:t>
            </w:r>
          </w:p>
          <w:p w14:paraId="59D5F3F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C（0-6分）</w:t>
            </w:r>
          </w:p>
        </w:tc>
      </w:tr>
      <w:tr w14:paraId="0064F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350" w:type="dxa"/>
            <w:vMerge w:val="continue"/>
            <w:noWrap w:val="0"/>
            <w:vAlign w:val="center"/>
          </w:tcPr>
          <w:p w14:paraId="61362A2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p>
        </w:tc>
        <w:tc>
          <w:tcPr>
            <w:tcW w:w="1672" w:type="dxa"/>
            <w:noWrap w:val="0"/>
            <w:vAlign w:val="center"/>
          </w:tcPr>
          <w:p w14:paraId="442CE7B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实践支撑</w:t>
            </w:r>
          </w:p>
          <w:p w14:paraId="4B2AFB1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（30分）</w:t>
            </w:r>
          </w:p>
        </w:tc>
        <w:tc>
          <w:tcPr>
            <w:tcW w:w="5561" w:type="dxa"/>
            <w:noWrap w:val="0"/>
            <w:vAlign w:val="center"/>
          </w:tcPr>
          <w:p w14:paraId="6910A21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能够高度对标其教育教学理念开展设计实施，并在相关材料中凸显自身理念特色。</w:t>
            </w:r>
          </w:p>
        </w:tc>
        <w:tc>
          <w:tcPr>
            <w:tcW w:w="1510" w:type="dxa"/>
            <w:noWrap w:val="0"/>
            <w:vAlign w:val="center"/>
          </w:tcPr>
          <w:p w14:paraId="147BE72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A（21-30分）</w:t>
            </w:r>
          </w:p>
          <w:p w14:paraId="7DDE493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B（11-20分）</w:t>
            </w:r>
          </w:p>
          <w:p w14:paraId="4151CF4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C（0-10分）</w:t>
            </w:r>
          </w:p>
        </w:tc>
      </w:tr>
      <w:tr w14:paraId="34585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350" w:type="dxa"/>
            <w:vMerge w:val="restart"/>
            <w:noWrap w:val="0"/>
            <w:vAlign w:val="center"/>
          </w:tcPr>
          <w:p w14:paraId="5BF33A1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教学模式</w:t>
            </w:r>
          </w:p>
          <w:p w14:paraId="0AC6E1E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（50分）</w:t>
            </w:r>
          </w:p>
          <w:p w14:paraId="1E426FF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4"/>
                <w:szCs w:val="24"/>
              </w:rPr>
            </w:pPr>
          </w:p>
        </w:tc>
        <w:tc>
          <w:tcPr>
            <w:tcW w:w="1672" w:type="dxa"/>
            <w:noWrap w:val="0"/>
            <w:vAlign w:val="center"/>
          </w:tcPr>
          <w:p w14:paraId="5E5A39A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理论依据</w:t>
            </w:r>
          </w:p>
          <w:p w14:paraId="17D5386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（20分）</w:t>
            </w:r>
          </w:p>
        </w:tc>
        <w:tc>
          <w:tcPr>
            <w:tcW w:w="5561" w:type="dxa"/>
            <w:noWrap w:val="0"/>
            <w:vAlign w:val="center"/>
          </w:tcPr>
          <w:p w14:paraId="7057237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符合“双新”“双减”政策要求，具有科学的教学理论依据。</w:t>
            </w:r>
          </w:p>
        </w:tc>
        <w:tc>
          <w:tcPr>
            <w:tcW w:w="1510" w:type="dxa"/>
            <w:noWrap w:val="0"/>
            <w:vAlign w:val="center"/>
          </w:tcPr>
          <w:p w14:paraId="0223AAF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A（14-20分）</w:t>
            </w:r>
          </w:p>
          <w:p w14:paraId="6F3858C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B（7-13分）</w:t>
            </w:r>
          </w:p>
          <w:p w14:paraId="2A61566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C（0-6分）</w:t>
            </w:r>
          </w:p>
        </w:tc>
      </w:tr>
      <w:tr w14:paraId="71AB2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1350" w:type="dxa"/>
            <w:vMerge w:val="continue"/>
            <w:noWrap w:val="0"/>
            <w:vAlign w:val="top"/>
          </w:tcPr>
          <w:p w14:paraId="7E8E3963">
            <w:pPr>
              <w:keepNext w:val="0"/>
              <w:keepLines w:val="0"/>
              <w:pageBreakBefore w:val="0"/>
              <w:widowControl w:val="0"/>
              <w:kinsoku/>
              <w:wordWrap/>
              <w:overflowPunct/>
              <w:topLinePunct w:val="0"/>
              <w:autoSpaceDE/>
              <w:autoSpaceDN/>
              <w:bidi w:val="0"/>
              <w:spacing w:line="280" w:lineRule="exact"/>
              <w:jc w:val="center"/>
              <w:textAlignment w:val="auto"/>
              <w:rPr>
                <w:rFonts w:hint="eastAsia" w:ascii="仿宋_GB2312" w:hAnsi="仿宋_GB2312" w:eastAsia="仿宋_GB2312" w:cs="仿宋_GB2312"/>
                <w:color w:val="auto"/>
                <w:sz w:val="24"/>
                <w:szCs w:val="24"/>
              </w:rPr>
            </w:pPr>
          </w:p>
        </w:tc>
        <w:tc>
          <w:tcPr>
            <w:tcW w:w="1672" w:type="dxa"/>
            <w:noWrap w:val="0"/>
            <w:vAlign w:val="center"/>
          </w:tcPr>
          <w:p w14:paraId="0508379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模式凝练</w:t>
            </w:r>
          </w:p>
          <w:p w14:paraId="14BEC8A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（30分）</w:t>
            </w:r>
          </w:p>
        </w:tc>
        <w:tc>
          <w:tcPr>
            <w:tcW w:w="5561" w:type="dxa"/>
            <w:noWrap w:val="0"/>
            <w:vAlign w:val="center"/>
          </w:tcPr>
          <w:p w14:paraId="02E1FD1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能够归纳总结形成可视化教学模式，模式简洁明了，构成要素合理，要素关系清晰，具有学理性。</w:t>
            </w:r>
          </w:p>
        </w:tc>
        <w:tc>
          <w:tcPr>
            <w:tcW w:w="1510" w:type="dxa"/>
            <w:noWrap w:val="0"/>
            <w:vAlign w:val="center"/>
          </w:tcPr>
          <w:p w14:paraId="6919B20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A（21-30分）</w:t>
            </w:r>
          </w:p>
          <w:p w14:paraId="1F8D8E6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B（11-20分）</w:t>
            </w:r>
          </w:p>
          <w:p w14:paraId="6EAA1F9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rPr>
              <w:t>C（0-10分）</w:t>
            </w:r>
          </w:p>
        </w:tc>
      </w:tr>
    </w:tbl>
    <w:p w14:paraId="7AF44603">
      <w:pPr>
        <w:pStyle w:val="2"/>
        <w:numPr>
          <w:ilvl w:val="-1"/>
          <w:numId w:val="0"/>
        </w:numPr>
        <w:ind w:left="0" w:leftChars="0"/>
      </w:pPr>
    </w:p>
    <w:p w14:paraId="200D6416"/>
    <w:p w14:paraId="12FB8EE4">
      <w:pPr>
        <w:pStyle w:val="2"/>
      </w:pPr>
    </w:p>
    <w:p w14:paraId="439C925E"/>
    <w:p w14:paraId="469B4035">
      <w:pPr>
        <w:pStyle w:val="2"/>
      </w:pPr>
    </w:p>
    <w:p w14:paraId="4B28D832"/>
    <w:p w14:paraId="4C9EC6CF">
      <w:pPr>
        <w:pStyle w:val="2"/>
      </w:pPr>
    </w:p>
    <w:p w14:paraId="738C9448"/>
    <w:p w14:paraId="0A73F085">
      <w:pPr>
        <w:pStyle w:val="2"/>
      </w:pPr>
    </w:p>
    <w:p w14:paraId="5DA86BCB"/>
    <w:p w14:paraId="2F63C763">
      <w:pPr>
        <w:pStyle w:val="2"/>
      </w:pPr>
    </w:p>
    <w:p w14:paraId="664642B0"/>
    <w:p w14:paraId="73CF51E7">
      <w:pPr>
        <w:adjustRightInd w:val="0"/>
        <w:snapToGrid w:val="0"/>
        <w:spacing w:line="560" w:lineRule="exact"/>
        <w:jc w:val="left"/>
        <w:rPr>
          <w:rFonts w:eastAsia="黑体"/>
          <w:sz w:val="32"/>
          <w:szCs w:val="32"/>
        </w:rPr>
      </w:pPr>
      <w:r>
        <w:rPr>
          <w:rFonts w:hint="eastAsia" w:eastAsia="黑体"/>
          <w:sz w:val="32"/>
          <w:szCs w:val="32"/>
        </w:rPr>
        <w:t>附表</w:t>
      </w:r>
    </w:p>
    <w:p w14:paraId="2E36CE8D">
      <w:pPr>
        <w:pStyle w:val="4"/>
        <w:adjustRightInd w:val="0"/>
        <w:snapToGrid w:val="0"/>
        <w:spacing w:before="0" w:after="0" w:line="560" w:lineRule="exact"/>
        <w:rPr>
          <w:rFonts w:ascii="Times New Roman" w:hAnsi="Times New Roman"/>
          <w:b w:val="0"/>
          <w:bCs w:val="0"/>
        </w:rPr>
      </w:pPr>
    </w:p>
    <w:p w14:paraId="6D15B923">
      <w:pPr>
        <w:adjustRightInd w:val="0"/>
        <w:snapToGrid w:val="0"/>
        <w:spacing w:line="560" w:lineRule="exact"/>
        <w:jc w:val="center"/>
        <w:rPr>
          <w:rFonts w:hint="default" w:eastAsia="黑体"/>
          <w:b/>
          <w:bCs/>
          <w:sz w:val="32"/>
          <w:szCs w:val="32"/>
          <w:lang w:val="en-US" w:eastAsia="zh-CN"/>
        </w:rPr>
      </w:pPr>
      <w:r>
        <w:rPr>
          <w:rFonts w:hint="eastAsia" w:eastAsia="黑体"/>
          <w:b/>
          <w:bCs/>
          <w:sz w:val="32"/>
          <w:szCs w:val="32"/>
        </w:rPr>
        <w:t>融合创新应用教学案例</w:t>
      </w:r>
      <w:r>
        <w:rPr>
          <w:rFonts w:hint="eastAsia" w:eastAsia="黑体"/>
          <w:b/>
          <w:bCs/>
          <w:sz w:val="32"/>
          <w:szCs w:val="32"/>
          <w:lang w:val="en-US" w:eastAsia="zh-CN"/>
        </w:rPr>
        <w:t>教学</w:t>
      </w:r>
      <w:r>
        <w:rPr>
          <w:rFonts w:hint="eastAsia" w:eastAsia="黑体"/>
          <w:b/>
          <w:bCs/>
          <w:sz w:val="32"/>
          <w:szCs w:val="32"/>
        </w:rPr>
        <w:t>设计方案</w:t>
      </w:r>
      <w:r>
        <w:rPr>
          <w:rFonts w:hint="eastAsia" w:eastAsia="黑体"/>
          <w:b/>
          <w:bCs/>
          <w:sz w:val="32"/>
          <w:szCs w:val="32"/>
          <w:lang w:val="en-US" w:eastAsia="zh-CN"/>
        </w:rPr>
        <w:t>（模板）</w:t>
      </w:r>
    </w:p>
    <w:tbl>
      <w:tblPr>
        <w:tblStyle w:val="11"/>
        <w:tblW w:w="93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1"/>
        <w:gridCol w:w="787"/>
        <w:gridCol w:w="2077"/>
        <w:gridCol w:w="1485"/>
        <w:gridCol w:w="3462"/>
      </w:tblGrid>
      <w:tr w14:paraId="53D5C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82" w:type="dxa"/>
            <w:gridSpan w:val="5"/>
            <w:noWrap w:val="0"/>
            <w:vAlign w:val="center"/>
          </w:tcPr>
          <w:p w14:paraId="15C0126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教学案例名称（不加书名号，控制22字以内）</w:t>
            </w:r>
          </w:p>
        </w:tc>
      </w:tr>
      <w:tr w14:paraId="67710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371" w:type="dxa"/>
            <w:noWrap w:val="0"/>
            <w:vAlign w:val="center"/>
          </w:tcPr>
          <w:p w14:paraId="69381AD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学校名称</w:t>
            </w:r>
          </w:p>
        </w:tc>
        <w:tc>
          <w:tcPr>
            <w:tcW w:w="2864" w:type="dxa"/>
            <w:gridSpan w:val="2"/>
            <w:noWrap w:val="0"/>
            <w:vAlign w:val="center"/>
          </w:tcPr>
          <w:p w14:paraId="23248BCA">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color w:val="auto"/>
                <w:sz w:val="28"/>
                <w:szCs w:val="28"/>
              </w:rPr>
            </w:pPr>
          </w:p>
        </w:tc>
        <w:tc>
          <w:tcPr>
            <w:tcW w:w="1485" w:type="dxa"/>
            <w:noWrap w:val="0"/>
            <w:vAlign w:val="center"/>
          </w:tcPr>
          <w:p w14:paraId="55E8ACA2">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执教教师</w:t>
            </w:r>
          </w:p>
        </w:tc>
        <w:tc>
          <w:tcPr>
            <w:tcW w:w="3462" w:type="dxa"/>
            <w:noWrap w:val="0"/>
            <w:vAlign w:val="center"/>
          </w:tcPr>
          <w:p w14:paraId="737DEDDA">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color w:val="auto"/>
                <w:sz w:val="28"/>
                <w:szCs w:val="28"/>
              </w:rPr>
            </w:pPr>
          </w:p>
        </w:tc>
      </w:tr>
      <w:tr w14:paraId="738BC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371" w:type="dxa"/>
            <w:vMerge w:val="restart"/>
            <w:noWrap w:val="0"/>
            <w:vAlign w:val="center"/>
          </w:tcPr>
          <w:p w14:paraId="19A8F293">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教学内容</w:t>
            </w:r>
          </w:p>
        </w:tc>
        <w:tc>
          <w:tcPr>
            <w:tcW w:w="787" w:type="dxa"/>
            <w:noWrap w:val="0"/>
            <w:vAlign w:val="center"/>
          </w:tcPr>
          <w:p w14:paraId="6EDAE291">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单元</w:t>
            </w:r>
          </w:p>
        </w:tc>
        <w:tc>
          <w:tcPr>
            <w:tcW w:w="2077" w:type="dxa"/>
            <w:noWrap w:val="0"/>
            <w:vAlign w:val="center"/>
          </w:tcPr>
          <w:p w14:paraId="356583EF">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28"/>
                <w:szCs w:val="28"/>
              </w:rPr>
            </w:pPr>
          </w:p>
        </w:tc>
        <w:tc>
          <w:tcPr>
            <w:tcW w:w="1485" w:type="dxa"/>
            <w:vMerge w:val="restart"/>
            <w:noWrap w:val="0"/>
            <w:vAlign w:val="center"/>
          </w:tcPr>
          <w:p w14:paraId="66893ED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学时安排</w:t>
            </w:r>
          </w:p>
        </w:tc>
        <w:tc>
          <w:tcPr>
            <w:tcW w:w="3462" w:type="dxa"/>
            <w:vMerge w:val="restart"/>
            <w:noWrap w:val="0"/>
            <w:vAlign w:val="center"/>
          </w:tcPr>
          <w:p w14:paraId="5A626F46">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color w:val="auto"/>
                <w:sz w:val="28"/>
                <w:szCs w:val="28"/>
              </w:rPr>
            </w:pPr>
          </w:p>
        </w:tc>
      </w:tr>
      <w:tr w14:paraId="0344F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71" w:type="dxa"/>
            <w:vMerge w:val="continue"/>
            <w:noWrap w:val="0"/>
            <w:vAlign w:val="center"/>
          </w:tcPr>
          <w:p w14:paraId="0A5EB8D1">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c>
          <w:tcPr>
            <w:tcW w:w="787" w:type="dxa"/>
            <w:noWrap w:val="0"/>
            <w:vAlign w:val="center"/>
          </w:tcPr>
          <w:p w14:paraId="6029A0CD">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课时</w:t>
            </w:r>
          </w:p>
        </w:tc>
        <w:tc>
          <w:tcPr>
            <w:tcW w:w="2077" w:type="dxa"/>
            <w:noWrap w:val="0"/>
            <w:vAlign w:val="center"/>
          </w:tcPr>
          <w:p w14:paraId="5079C289">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28"/>
                <w:szCs w:val="28"/>
              </w:rPr>
            </w:pPr>
          </w:p>
        </w:tc>
        <w:tc>
          <w:tcPr>
            <w:tcW w:w="1485" w:type="dxa"/>
            <w:vMerge w:val="continue"/>
            <w:noWrap w:val="0"/>
            <w:vAlign w:val="center"/>
          </w:tcPr>
          <w:p w14:paraId="77363660">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c>
          <w:tcPr>
            <w:tcW w:w="3462" w:type="dxa"/>
            <w:vMerge w:val="continue"/>
            <w:noWrap w:val="0"/>
            <w:vAlign w:val="center"/>
          </w:tcPr>
          <w:p w14:paraId="0BD7BB7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color w:val="auto"/>
                <w:sz w:val="28"/>
                <w:szCs w:val="28"/>
              </w:rPr>
            </w:pPr>
          </w:p>
        </w:tc>
      </w:tr>
      <w:tr w14:paraId="08F5F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371" w:type="dxa"/>
            <w:noWrap w:val="0"/>
            <w:vAlign w:val="center"/>
          </w:tcPr>
          <w:p w14:paraId="48829A80">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所属学科</w:t>
            </w:r>
          </w:p>
        </w:tc>
        <w:tc>
          <w:tcPr>
            <w:tcW w:w="2864" w:type="dxa"/>
            <w:gridSpan w:val="2"/>
            <w:noWrap w:val="0"/>
            <w:vAlign w:val="center"/>
          </w:tcPr>
          <w:p w14:paraId="70915B92">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color w:val="auto"/>
                <w:sz w:val="28"/>
                <w:szCs w:val="28"/>
              </w:rPr>
            </w:pPr>
          </w:p>
        </w:tc>
        <w:tc>
          <w:tcPr>
            <w:tcW w:w="1485" w:type="dxa"/>
            <w:noWrap w:val="0"/>
            <w:vAlign w:val="center"/>
          </w:tcPr>
          <w:p w14:paraId="760C4A9C">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教学对象</w:t>
            </w:r>
          </w:p>
        </w:tc>
        <w:tc>
          <w:tcPr>
            <w:tcW w:w="3462" w:type="dxa"/>
            <w:noWrap w:val="0"/>
            <w:vAlign w:val="center"/>
          </w:tcPr>
          <w:p w14:paraId="5A972603">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color w:val="auto"/>
                <w:sz w:val="28"/>
                <w:szCs w:val="28"/>
              </w:rPr>
            </w:pPr>
          </w:p>
        </w:tc>
      </w:tr>
      <w:tr w14:paraId="09CCA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82" w:type="dxa"/>
            <w:gridSpan w:val="5"/>
            <w:shd w:val="clear" w:color="auto" w:fill="D9E2F3"/>
            <w:noWrap w:val="0"/>
            <w:vAlign w:val="center"/>
          </w:tcPr>
          <w:p w14:paraId="0F67D92D">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一、总体设计</w:t>
            </w:r>
          </w:p>
        </w:tc>
      </w:tr>
      <w:tr w14:paraId="41DB0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182" w:type="dxa"/>
            <w:gridSpan w:val="5"/>
            <w:noWrap w:val="0"/>
            <w:vAlign w:val="top"/>
          </w:tcPr>
          <w:p w14:paraId="0EAA7628">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（说明单元或课时的总体规划，包括指向的学科核心素养；具体教学内容与学时安排；教学改革的理念；应用的数字化平台与资源等）</w:t>
            </w:r>
          </w:p>
          <w:p w14:paraId="2DE4618D">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28"/>
                <w:szCs w:val="28"/>
              </w:rPr>
            </w:pPr>
          </w:p>
        </w:tc>
      </w:tr>
      <w:tr w14:paraId="4D28A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82" w:type="dxa"/>
            <w:gridSpan w:val="5"/>
            <w:shd w:val="clear" w:color="auto" w:fill="D9E2F3"/>
            <w:noWrap w:val="0"/>
            <w:vAlign w:val="center"/>
          </w:tcPr>
          <w:p w14:paraId="4095A90B">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二、学情分析</w:t>
            </w:r>
          </w:p>
        </w:tc>
      </w:tr>
      <w:tr w14:paraId="52432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9182" w:type="dxa"/>
            <w:gridSpan w:val="5"/>
            <w:noWrap w:val="0"/>
            <w:vAlign w:val="top"/>
          </w:tcPr>
          <w:p w14:paraId="3A44CAF8">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（说明学生的起点能力、学习风格、数字素养等方面）</w:t>
            </w:r>
          </w:p>
          <w:p w14:paraId="4433C60A">
            <w:pPr>
              <w:pStyle w:val="2"/>
              <w:rPr>
                <w:rFonts w:hint="default" w:ascii="黑体" w:hAnsi="黑体" w:eastAsia="黑体" w:cs="Times New Roman"/>
                <w:b w:val="0"/>
                <w:bCs w:val="0"/>
                <w:color w:val="auto"/>
                <w:sz w:val="30"/>
                <w:szCs w:val="30"/>
              </w:rPr>
            </w:pPr>
          </w:p>
          <w:p w14:paraId="67EA2218">
            <w:pPr>
              <w:pStyle w:val="3"/>
              <w:keepNext w:val="0"/>
              <w:keepLines w:val="0"/>
              <w:pageBreakBefore w:val="0"/>
              <w:widowControl w:val="0"/>
              <w:numPr>
                <w:ilvl w:val="0"/>
                <w:numId w:val="2"/>
              </w:numPr>
              <w:kinsoku/>
              <w:wordWrap/>
              <w:overflowPunct/>
              <w:topLinePunct w:val="0"/>
              <w:autoSpaceDE/>
              <w:autoSpaceDN/>
              <w:bidi w:val="0"/>
              <w:adjustRightInd/>
              <w:snapToGrid/>
              <w:spacing w:before="0" w:after="0" w:line="240" w:lineRule="auto"/>
              <w:ind w:left="0" w:left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起点能力：</w:t>
            </w:r>
          </w:p>
          <w:p w14:paraId="1CA946A3">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sz w:val="28"/>
                <w:szCs w:val="28"/>
              </w:rPr>
            </w:pPr>
          </w:p>
          <w:p w14:paraId="187096F9">
            <w:pPr>
              <w:pStyle w:val="3"/>
              <w:keepNext w:val="0"/>
              <w:keepLines w:val="0"/>
              <w:pageBreakBefore w:val="0"/>
              <w:widowControl w:val="0"/>
              <w:numPr>
                <w:ilvl w:val="0"/>
                <w:numId w:val="3"/>
              </w:numPr>
              <w:kinsoku/>
              <w:wordWrap/>
              <w:overflowPunct/>
              <w:topLinePunct w:val="0"/>
              <w:autoSpaceDE/>
              <w:autoSpaceDN/>
              <w:bidi w:val="0"/>
              <w:adjustRightInd/>
              <w:snapToGrid/>
              <w:spacing w:before="0" w:after="0" w:line="240" w:lineRule="auto"/>
              <w:ind w:left="0" w:left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学习风格：</w:t>
            </w:r>
          </w:p>
          <w:p w14:paraId="34316F3C">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sz w:val="28"/>
                <w:szCs w:val="28"/>
              </w:rPr>
            </w:pPr>
          </w:p>
          <w:p w14:paraId="06B1546D">
            <w:pPr>
              <w:pStyle w:val="3"/>
              <w:keepNext w:val="0"/>
              <w:keepLines w:val="0"/>
              <w:pageBreakBefore w:val="0"/>
              <w:widowControl w:val="0"/>
              <w:numPr>
                <w:ilvl w:val="0"/>
                <w:numId w:val="4"/>
              </w:numPr>
              <w:kinsoku/>
              <w:wordWrap/>
              <w:overflowPunct/>
              <w:topLinePunct w:val="0"/>
              <w:autoSpaceDE/>
              <w:autoSpaceDN/>
              <w:bidi w:val="0"/>
              <w:adjustRightInd/>
              <w:snapToGrid/>
              <w:spacing w:before="0" w:after="0" w:line="240" w:lineRule="auto"/>
              <w:ind w:left="0" w:leftChars="0" w:hanging="442"/>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数字素养：</w:t>
            </w:r>
          </w:p>
          <w:p w14:paraId="05644810">
            <w:pPr>
              <w:pStyle w:val="2"/>
              <w:ind w:left="0" w:leftChars="0"/>
              <w:rPr>
                <w:rFonts w:hint="eastAsia"/>
              </w:rPr>
            </w:pPr>
          </w:p>
          <w:p w14:paraId="1F5A1D65">
            <w:pPr>
              <w:pStyle w:val="2"/>
              <w:ind w:left="0" w:leftChars="0"/>
              <w:rPr>
                <w:rFonts w:hint="eastAsia"/>
              </w:rPr>
            </w:pPr>
          </w:p>
        </w:tc>
      </w:tr>
      <w:tr w14:paraId="15B95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82" w:type="dxa"/>
            <w:gridSpan w:val="5"/>
            <w:shd w:val="clear" w:color="auto" w:fill="D9E2F3"/>
            <w:noWrap w:val="0"/>
            <w:vAlign w:val="center"/>
          </w:tcPr>
          <w:p w14:paraId="586D38B4">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三、教学目标</w:t>
            </w:r>
          </w:p>
        </w:tc>
      </w:tr>
      <w:tr w14:paraId="1CFB3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9182" w:type="dxa"/>
            <w:gridSpan w:val="5"/>
            <w:noWrap w:val="0"/>
            <w:vAlign w:val="top"/>
          </w:tcPr>
          <w:p w14:paraId="71BFAFE9">
            <w:pPr>
              <w:pStyle w:val="3"/>
              <w:keepNext w:val="0"/>
              <w:keepLines w:val="0"/>
              <w:pageBreakBefore w:val="0"/>
              <w:widowControl w:val="0"/>
              <w:kinsoku/>
              <w:wordWrap/>
              <w:overflowPunct/>
              <w:topLinePunct w:val="0"/>
              <w:autoSpaceDE/>
              <w:autoSpaceDN/>
              <w:bidi w:val="0"/>
              <w:adjustRightInd/>
              <w:snapToGrid/>
              <w:spacing w:before="0" w:after="0" w:line="240" w:lineRule="auto"/>
              <w:ind w:left="0" w:leftChars="0"/>
              <w:textAlignment w:val="auto"/>
              <w:rPr>
                <w:rFonts w:hint="eastAsia" w:ascii="仿宋_GB2312" w:hAnsi="仿宋_GB2312" w:eastAsia="仿宋_GB2312" w:cs="仿宋_GB2312"/>
                <w:b w:val="0"/>
                <w:bCs/>
                <w:color w:val="auto"/>
                <w:kern w:val="2"/>
                <w:sz w:val="24"/>
                <w:szCs w:val="24"/>
              </w:rPr>
            </w:pPr>
            <w:r>
              <w:rPr>
                <w:rFonts w:hint="eastAsia" w:ascii="仿宋_GB2312" w:hAnsi="仿宋_GB2312" w:eastAsia="仿宋_GB2312" w:cs="仿宋_GB2312"/>
                <w:b w:val="0"/>
                <w:bCs/>
                <w:color w:val="auto"/>
                <w:kern w:val="2"/>
                <w:sz w:val="24"/>
                <w:szCs w:val="24"/>
              </w:rPr>
              <w:t>（对标学科核心素养，从单元或课时的视角，描述教学目标）</w:t>
            </w:r>
          </w:p>
          <w:p w14:paraId="110E84E5">
            <w:pPr>
              <w:pStyle w:val="3"/>
              <w:keepNext w:val="0"/>
              <w:keepLines w:val="0"/>
              <w:pageBreakBefore w:val="0"/>
              <w:widowControl w:val="0"/>
              <w:numPr>
                <w:ilvl w:val="0"/>
                <w:numId w:val="5"/>
              </w:numPr>
              <w:kinsoku/>
              <w:wordWrap/>
              <w:overflowPunct/>
              <w:topLinePunct w:val="0"/>
              <w:autoSpaceDE/>
              <w:autoSpaceDN/>
              <w:bidi w:val="0"/>
              <w:adjustRightInd/>
              <w:snapToGrid/>
              <w:spacing w:before="0" w:after="0" w:line="240" w:lineRule="auto"/>
              <w:ind w:left="0" w:left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单元教学目标：</w:t>
            </w:r>
          </w:p>
          <w:p w14:paraId="57C48C6F">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sz w:val="28"/>
                <w:szCs w:val="28"/>
              </w:rPr>
            </w:pPr>
          </w:p>
          <w:p w14:paraId="45F8911A">
            <w:pPr>
              <w:pStyle w:val="3"/>
              <w:keepNext w:val="0"/>
              <w:keepLines w:val="0"/>
              <w:pageBreakBefore w:val="0"/>
              <w:widowControl w:val="0"/>
              <w:numPr>
                <w:ilvl w:val="0"/>
                <w:numId w:val="6"/>
              </w:numPr>
              <w:kinsoku/>
              <w:wordWrap/>
              <w:overflowPunct/>
              <w:topLinePunct w:val="0"/>
              <w:autoSpaceDE/>
              <w:autoSpaceDN/>
              <w:bidi w:val="0"/>
              <w:adjustRightInd/>
              <w:snapToGrid/>
              <w:spacing w:before="0" w:after="0" w:line="240" w:lineRule="auto"/>
              <w:ind w:left="0" w:left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课时教学目标：</w:t>
            </w:r>
          </w:p>
          <w:p w14:paraId="0D07D791">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b/>
                <w:bCs/>
                <w:color w:val="auto"/>
                <w:kern w:val="44"/>
                <w:sz w:val="28"/>
                <w:szCs w:val="28"/>
              </w:rPr>
            </w:pPr>
          </w:p>
        </w:tc>
      </w:tr>
      <w:tr w14:paraId="2CBDD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82" w:type="dxa"/>
            <w:gridSpan w:val="5"/>
            <w:shd w:val="clear" w:color="auto" w:fill="D9E2F3"/>
            <w:noWrap w:val="0"/>
            <w:vAlign w:val="center"/>
          </w:tcPr>
          <w:p w14:paraId="4DF08108">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四、重点难点</w:t>
            </w:r>
          </w:p>
        </w:tc>
      </w:tr>
      <w:tr w14:paraId="25CD6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82" w:type="dxa"/>
            <w:gridSpan w:val="5"/>
            <w:shd w:val="clear" w:color="auto" w:fill="FFFFFF"/>
            <w:noWrap w:val="0"/>
            <w:vAlign w:val="center"/>
          </w:tcPr>
          <w:p w14:paraId="018EAFFC">
            <w:pPr>
              <w:pStyle w:val="3"/>
              <w:keepNext w:val="0"/>
              <w:keepLines w:val="0"/>
              <w:pageBreakBefore w:val="0"/>
              <w:widowControl w:val="0"/>
              <w:numPr>
                <w:ilvl w:val="0"/>
                <w:numId w:val="5"/>
              </w:numPr>
              <w:kinsoku/>
              <w:wordWrap/>
              <w:overflowPunct/>
              <w:topLinePunct w:val="0"/>
              <w:autoSpaceDE/>
              <w:autoSpaceDN/>
              <w:bidi w:val="0"/>
              <w:adjustRightInd/>
              <w:snapToGrid/>
              <w:spacing w:before="0" w:after="0" w:line="240" w:lineRule="auto"/>
              <w:ind w:left="0" w:left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教学重点：</w:t>
            </w:r>
          </w:p>
          <w:p w14:paraId="213E2372">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28"/>
                <w:szCs w:val="28"/>
              </w:rPr>
            </w:pPr>
          </w:p>
          <w:p w14:paraId="74721CEF">
            <w:pPr>
              <w:pStyle w:val="3"/>
              <w:keepNext w:val="0"/>
              <w:keepLines w:val="0"/>
              <w:pageBreakBefore w:val="0"/>
              <w:widowControl w:val="0"/>
              <w:numPr>
                <w:ilvl w:val="0"/>
                <w:numId w:val="6"/>
              </w:numPr>
              <w:kinsoku/>
              <w:wordWrap/>
              <w:overflowPunct/>
              <w:topLinePunct w:val="0"/>
              <w:autoSpaceDE/>
              <w:autoSpaceDN/>
              <w:bidi w:val="0"/>
              <w:adjustRightInd/>
              <w:snapToGrid/>
              <w:spacing w:before="0" w:after="0" w:line="240" w:lineRule="auto"/>
              <w:ind w:left="0" w:left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教学难点：</w:t>
            </w:r>
          </w:p>
          <w:p w14:paraId="03B8E360">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color w:val="auto"/>
                <w:sz w:val="28"/>
                <w:szCs w:val="28"/>
              </w:rPr>
            </w:pPr>
          </w:p>
        </w:tc>
      </w:tr>
      <w:tr w14:paraId="4EE2C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82" w:type="dxa"/>
            <w:gridSpan w:val="5"/>
            <w:shd w:val="clear" w:color="auto" w:fill="D9E2F3"/>
            <w:noWrap w:val="0"/>
            <w:vAlign w:val="center"/>
          </w:tcPr>
          <w:p w14:paraId="4D404A5A">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五、技术赋能</w:t>
            </w:r>
          </w:p>
        </w:tc>
      </w:tr>
      <w:tr w14:paraId="160C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9182" w:type="dxa"/>
            <w:gridSpan w:val="5"/>
            <w:noWrap w:val="0"/>
            <w:vAlign w:val="center"/>
          </w:tcPr>
          <w:p w14:paraId="519C574A">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color w:val="auto"/>
                <w:sz w:val="28"/>
                <w:szCs w:val="28"/>
                <w:lang w:val="en-US" w:eastAsia="zh-CN"/>
              </w:rPr>
              <w:t>数字化</w:t>
            </w:r>
            <w:r>
              <w:rPr>
                <w:rFonts w:hint="eastAsia" w:ascii="仿宋_GB2312" w:hAnsi="仿宋_GB2312" w:eastAsia="仿宋_GB2312" w:cs="仿宋_GB2312"/>
                <w:b/>
                <w:color w:val="auto"/>
                <w:sz w:val="28"/>
                <w:szCs w:val="28"/>
              </w:rPr>
              <w:t>平台：</w:t>
            </w:r>
            <w:r>
              <w:rPr>
                <w:rFonts w:hint="eastAsia" w:ascii="仿宋_GB2312" w:hAnsi="仿宋_GB2312" w:eastAsia="仿宋_GB2312" w:cs="仿宋_GB2312"/>
                <w:b w:val="0"/>
                <w:bCs/>
                <w:color w:val="auto"/>
                <w:sz w:val="28"/>
                <w:szCs w:val="28"/>
              </w:rPr>
              <w:t>（国家智慧教育公共服务平台、粤教翔云数字教材应用平台、区域平台、学科平台等）</w:t>
            </w:r>
          </w:p>
          <w:p w14:paraId="28D79F8C">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数字资源：（微课、课件、AR、VR等）</w:t>
            </w:r>
          </w:p>
          <w:p w14:paraId="42A8333E">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智能工具：（学科教学工具、智能APP、人工智能工具等）</w:t>
            </w:r>
          </w:p>
          <w:p w14:paraId="1504B4B3">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仿宋_GB2312" w:hAnsi="仿宋_GB2312" w:eastAsia="仿宋_GB2312" w:cs="仿宋_GB2312"/>
                <w:color w:val="auto"/>
                <w:sz w:val="28"/>
                <w:szCs w:val="28"/>
              </w:rPr>
            </w:pPr>
          </w:p>
        </w:tc>
      </w:tr>
      <w:tr w14:paraId="2B98D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82" w:type="dxa"/>
            <w:gridSpan w:val="5"/>
            <w:shd w:val="clear" w:color="auto" w:fill="D9E2F3"/>
            <w:noWrap w:val="0"/>
            <w:vAlign w:val="center"/>
          </w:tcPr>
          <w:p w14:paraId="772F089E">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六、学案设计</w:t>
            </w:r>
          </w:p>
        </w:tc>
      </w:tr>
      <w:tr w14:paraId="1024D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jc w:val="center"/>
        </w:trPr>
        <w:tc>
          <w:tcPr>
            <w:tcW w:w="9182" w:type="dxa"/>
            <w:gridSpan w:val="5"/>
            <w:noWrap w:val="0"/>
            <w:vAlign w:val="center"/>
          </w:tcPr>
          <w:p w14:paraId="539D82CD">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《学案1》</w:t>
            </w:r>
          </w:p>
          <w:p w14:paraId="4A708F78">
            <w:pPr>
              <w:pStyle w:val="3"/>
              <w:keepNext w:val="0"/>
              <w:keepLines w:val="0"/>
              <w:pageBreakBefore w:val="0"/>
              <w:widowControl w:val="0"/>
              <w:numPr>
                <w:ilvl w:val="0"/>
                <w:numId w:val="6"/>
              </w:numPr>
              <w:kinsoku/>
              <w:wordWrap/>
              <w:overflowPunct/>
              <w:topLinePunct w:val="0"/>
              <w:autoSpaceDE/>
              <w:autoSpaceDN/>
              <w:bidi w:val="0"/>
              <w:adjustRightInd/>
              <w:snapToGrid/>
              <w:spacing w:before="0" w:after="0" w:line="240" w:lineRule="auto"/>
              <w:ind w:left="0" w:leftChars="0"/>
              <w:textAlignment w:val="auto"/>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学习目标</w:t>
            </w:r>
          </w:p>
          <w:p w14:paraId="2BC2144C">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14:paraId="565C85A2">
            <w:pPr>
              <w:pStyle w:val="3"/>
              <w:keepNext w:val="0"/>
              <w:keepLines w:val="0"/>
              <w:pageBreakBefore w:val="0"/>
              <w:widowControl w:val="0"/>
              <w:numPr>
                <w:ilvl w:val="0"/>
                <w:numId w:val="6"/>
              </w:numPr>
              <w:kinsoku/>
              <w:wordWrap/>
              <w:overflowPunct/>
              <w:topLinePunct w:val="0"/>
              <w:autoSpaceDE/>
              <w:autoSpaceDN/>
              <w:bidi w:val="0"/>
              <w:adjustRightInd/>
              <w:snapToGrid/>
              <w:spacing w:before="0" w:after="0" w:line="240" w:lineRule="auto"/>
              <w:ind w:left="0" w:leftChars="0"/>
              <w:textAlignment w:val="auto"/>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学习任务</w:t>
            </w:r>
          </w:p>
          <w:p w14:paraId="68E635BC">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14:paraId="74E22C2F">
            <w:pPr>
              <w:pStyle w:val="3"/>
              <w:keepNext w:val="0"/>
              <w:keepLines w:val="0"/>
              <w:pageBreakBefore w:val="0"/>
              <w:widowControl w:val="0"/>
              <w:numPr>
                <w:ilvl w:val="0"/>
                <w:numId w:val="6"/>
              </w:numPr>
              <w:kinsoku/>
              <w:wordWrap/>
              <w:overflowPunct/>
              <w:topLinePunct w:val="0"/>
              <w:autoSpaceDE/>
              <w:autoSpaceDN/>
              <w:bidi w:val="0"/>
              <w:adjustRightInd/>
              <w:snapToGrid/>
              <w:spacing w:before="0" w:after="0" w:line="240" w:lineRule="auto"/>
              <w:ind w:left="0" w:leftChars="0"/>
              <w:textAlignment w:val="auto"/>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学习准备</w:t>
            </w:r>
          </w:p>
          <w:p w14:paraId="03B384AD">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14:paraId="35DDA6BA">
            <w:pPr>
              <w:pStyle w:val="3"/>
              <w:keepNext w:val="0"/>
              <w:keepLines w:val="0"/>
              <w:pageBreakBefore w:val="0"/>
              <w:widowControl w:val="0"/>
              <w:numPr>
                <w:ilvl w:val="0"/>
                <w:numId w:val="6"/>
              </w:numPr>
              <w:kinsoku/>
              <w:wordWrap/>
              <w:overflowPunct/>
              <w:topLinePunct w:val="0"/>
              <w:autoSpaceDE/>
              <w:autoSpaceDN/>
              <w:bidi w:val="0"/>
              <w:adjustRightInd/>
              <w:snapToGrid/>
              <w:spacing w:before="0" w:after="0" w:line="240" w:lineRule="auto"/>
              <w:ind w:left="0" w:leftChars="0"/>
              <w:textAlignment w:val="auto"/>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学习过程</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6"/>
              <w:gridCol w:w="2986"/>
              <w:gridCol w:w="2984"/>
            </w:tblGrid>
            <w:tr w14:paraId="065E6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667" w:type="pct"/>
                  <w:noWrap w:val="0"/>
                  <w:vAlign w:val="center"/>
                </w:tcPr>
                <w:p w14:paraId="71F5CBEB">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学习任务</w:t>
                  </w:r>
                </w:p>
              </w:tc>
              <w:tc>
                <w:tcPr>
                  <w:tcW w:w="1667" w:type="pct"/>
                  <w:noWrap w:val="0"/>
                  <w:vAlign w:val="center"/>
                </w:tcPr>
                <w:p w14:paraId="0CCBB69C">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学习活动</w:t>
                  </w:r>
                </w:p>
              </w:tc>
              <w:tc>
                <w:tcPr>
                  <w:tcW w:w="1666" w:type="pct"/>
                  <w:noWrap w:val="0"/>
                  <w:vAlign w:val="center"/>
                </w:tcPr>
                <w:p w14:paraId="61068ECD">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技术赋能</w:t>
                  </w:r>
                </w:p>
              </w:tc>
            </w:tr>
            <w:tr w14:paraId="2096E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667" w:type="pct"/>
                  <w:vMerge w:val="restart"/>
                  <w:noWrap w:val="0"/>
                  <w:vAlign w:val="center"/>
                </w:tcPr>
                <w:p w14:paraId="0EBB007F">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任务1</w:t>
                  </w:r>
                </w:p>
              </w:tc>
              <w:tc>
                <w:tcPr>
                  <w:tcW w:w="1667" w:type="pct"/>
                  <w:noWrap w:val="0"/>
                  <w:vAlign w:val="center"/>
                </w:tcPr>
                <w:p w14:paraId="0F7DB04D">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c>
                <w:tcPr>
                  <w:tcW w:w="1666" w:type="pct"/>
                  <w:noWrap w:val="0"/>
                  <w:vAlign w:val="center"/>
                </w:tcPr>
                <w:p w14:paraId="324E3BE6">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r>
            <w:tr w14:paraId="72A53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pct"/>
                  <w:vMerge w:val="continue"/>
                  <w:noWrap w:val="0"/>
                  <w:vAlign w:val="center"/>
                </w:tcPr>
                <w:p w14:paraId="3338E42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c>
                <w:tcPr>
                  <w:tcW w:w="1667" w:type="pct"/>
                  <w:noWrap w:val="0"/>
                  <w:vAlign w:val="center"/>
                </w:tcPr>
                <w:p w14:paraId="17CB58C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c>
                <w:tcPr>
                  <w:tcW w:w="1666" w:type="pct"/>
                  <w:noWrap w:val="0"/>
                  <w:vAlign w:val="center"/>
                </w:tcPr>
                <w:p w14:paraId="57F41402">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r>
            <w:tr w14:paraId="6677E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667" w:type="pct"/>
                  <w:vMerge w:val="restart"/>
                  <w:noWrap w:val="0"/>
                  <w:vAlign w:val="center"/>
                </w:tcPr>
                <w:p w14:paraId="48A21A0F">
                  <w:pPr>
                    <w:pStyle w:val="21"/>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任务2</w:t>
                  </w:r>
                </w:p>
              </w:tc>
              <w:tc>
                <w:tcPr>
                  <w:tcW w:w="1667" w:type="pct"/>
                  <w:noWrap w:val="0"/>
                  <w:vAlign w:val="center"/>
                </w:tcPr>
                <w:p w14:paraId="7F65D27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c>
                <w:tcPr>
                  <w:tcW w:w="1666" w:type="pct"/>
                  <w:noWrap w:val="0"/>
                  <w:vAlign w:val="center"/>
                </w:tcPr>
                <w:p w14:paraId="45A930CC">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r>
            <w:tr w14:paraId="0CBE9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pct"/>
                  <w:vMerge w:val="continue"/>
                  <w:noWrap w:val="0"/>
                  <w:vAlign w:val="center"/>
                </w:tcPr>
                <w:p w14:paraId="6AF5D1B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c>
                <w:tcPr>
                  <w:tcW w:w="1667" w:type="pct"/>
                  <w:noWrap w:val="0"/>
                  <w:vAlign w:val="center"/>
                </w:tcPr>
                <w:p w14:paraId="6ACBBE5E">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c>
                <w:tcPr>
                  <w:tcW w:w="1666" w:type="pct"/>
                  <w:noWrap w:val="0"/>
                  <w:vAlign w:val="center"/>
                </w:tcPr>
                <w:p w14:paraId="787FA422">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r>
            <w:tr w14:paraId="62650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pct"/>
                  <w:vMerge w:val="restart"/>
                  <w:noWrap w:val="0"/>
                  <w:vAlign w:val="center"/>
                </w:tcPr>
                <w:p w14:paraId="4C113E71">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任务3</w:t>
                  </w:r>
                </w:p>
              </w:tc>
              <w:tc>
                <w:tcPr>
                  <w:tcW w:w="1667" w:type="pct"/>
                  <w:noWrap w:val="0"/>
                  <w:vAlign w:val="center"/>
                </w:tcPr>
                <w:p w14:paraId="520FB9EF">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c>
                <w:tcPr>
                  <w:tcW w:w="1666" w:type="pct"/>
                  <w:noWrap w:val="0"/>
                  <w:vAlign w:val="center"/>
                </w:tcPr>
                <w:p w14:paraId="77C1EC61">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r>
            <w:tr w14:paraId="43741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pct"/>
                  <w:vMerge w:val="continue"/>
                  <w:noWrap w:val="0"/>
                  <w:vAlign w:val="center"/>
                </w:tcPr>
                <w:p w14:paraId="4F4A9420">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c>
                <w:tcPr>
                  <w:tcW w:w="1667" w:type="pct"/>
                  <w:noWrap w:val="0"/>
                  <w:vAlign w:val="center"/>
                </w:tcPr>
                <w:p w14:paraId="2E246F31">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c>
                <w:tcPr>
                  <w:tcW w:w="1666" w:type="pct"/>
                  <w:noWrap w:val="0"/>
                  <w:vAlign w:val="center"/>
                </w:tcPr>
                <w:p w14:paraId="25DF163F">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r>
            <w:tr w14:paraId="44B56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pct"/>
                  <w:noWrap w:val="0"/>
                  <w:vAlign w:val="center"/>
                </w:tcPr>
                <w:p w14:paraId="1179C3BB">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w:t>
                  </w:r>
                </w:p>
              </w:tc>
              <w:tc>
                <w:tcPr>
                  <w:tcW w:w="1667" w:type="pct"/>
                  <w:noWrap w:val="0"/>
                  <w:vAlign w:val="center"/>
                </w:tcPr>
                <w:p w14:paraId="5254D4D6">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c>
                <w:tcPr>
                  <w:tcW w:w="1666" w:type="pct"/>
                  <w:noWrap w:val="0"/>
                  <w:vAlign w:val="center"/>
                </w:tcPr>
                <w:p w14:paraId="3B522875">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color w:val="auto"/>
                      <w:sz w:val="28"/>
                      <w:szCs w:val="28"/>
                    </w:rPr>
                  </w:pPr>
                </w:p>
              </w:tc>
            </w:tr>
          </w:tbl>
          <w:p w14:paraId="159A6C84">
            <w:pPr>
              <w:pStyle w:val="3"/>
              <w:keepNext w:val="0"/>
              <w:keepLines w:val="0"/>
              <w:pageBreakBefore w:val="0"/>
              <w:widowControl w:val="0"/>
              <w:numPr>
                <w:ilvl w:val="0"/>
                <w:numId w:val="6"/>
              </w:numPr>
              <w:kinsoku/>
              <w:wordWrap/>
              <w:overflowPunct/>
              <w:topLinePunct w:val="0"/>
              <w:autoSpaceDE/>
              <w:autoSpaceDN/>
              <w:bidi w:val="0"/>
              <w:adjustRightInd/>
              <w:snapToGrid/>
              <w:spacing w:before="0" w:after="0" w:line="400" w:lineRule="exact"/>
              <w:ind w:left="0" w:leftChars="0"/>
              <w:textAlignment w:val="auto"/>
              <w:rPr>
                <w:rFonts w:hint="eastAsia" w:ascii="仿宋_GB2312" w:hAnsi="仿宋_GB2312" w:eastAsia="仿宋_GB2312" w:cs="仿宋_GB2312"/>
                <w:color w:val="auto"/>
                <w:sz w:val="28"/>
                <w:szCs w:val="28"/>
              </w:rPr>
            </w:pPr>
          </w:p>
          <w:p w14:paraId="58A62FB9">
            <w:pPr>
              <w:pStyle w:val="3"/>
              <w:keepNext w:val="0"/>
              <w:keepLines w:val="0"/>
              <w:pageBreakBefore w:val="0"/>
              <w:widowControl w:val="0"/>
              <w:numPr>
                <w:ilvl w:val="0"/>
                <w:numId w:val="6"/>
              </w:numPr>
              <w:kinsoku/>
              <w:wordWrap/>
              <w:overflowPunct/>
              <w:topLinePunct w:val="0"/>
              <w:autoSpaceDE/>
              <w:autoSpaceDN/>
              <w:bidi w:val="0"/>
              <w:adjustRightInd/>
              <w:snapToGrid/>
              <w:spacing w:before="0" w:after="0" w:line="400" w:lineRule="exact"/>
              <w:ind w:left="0" w:left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2"/>
                <w:sz w:val="28"/>
                <w:szCs w:val="28"/>
              </w:rPr>
              <w:t>学习评价</w:t>
            </w:r>
            <w:r>
              <w:rPr>
                <w:rFonts w:hint="eastAsia" w:ascii="仿宋_GB2312" w:hAnsi="仿宋_GB2312" w:eastAsia="仿宋_GB2312" w:cs="仿宋_GB2312"/>
                <w:color w:val="auto"/>
                <w:kern w:val="2"/>
                <w:sz w:val="28"/>
                <w:szCs w:val="28"/>
                <w:lang w:eastAsia="zh-CN"/>
              </w:rPr>
              <w:t>：</w:t>
            </w:r>
          </w:p>
          <w:p w14:paraId="51A015CE">
            <w:pPr>
              <w:pStyle w:val="3"/>
              <w:keepNext w:val="0"/>
              <w:keepLines w:val="0"/>
              <w:pageBreakBefore w:val="0"/>
              <w:widowControl w:val="0"/>
              <w:numPr>
                <w:ilvl w:val="0"/>
                <w:numId w:val="6"/>
              </w:numPr>
              <w:kinsoku/>
              <w:wordWrap/>
              <w:overflowPunct/>
              <w:topLinePunct w:val="0"/>
              <w:autoSpaceDE/>
              <w:autoSpaceDN/>
              <w:bidi w:val="0"/>
              <w:adjustRightInd/>
              <w:snapToGrid/>
              <w:spacing w:before="0" w:after="0" w:line="400" w:lineRule="exact"/>
              <w:ind w:left="0" w:left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14:paraId="76E98D33">
            <w:pPr>
              <w:pStyle w:val="3"/>
              <w:keepNext w:val="0"/>
              <w:keepLines w:val="0"/>
              <w:pageBreakBefore w:val="0"/>
              <w:widowControl w:val="0"/>
              <w:numPr>
                <w:ilvl w:val="0"/>
                <w:numId w:val="6"/>
              </w:numPr>
              <w:kinsoku/>
              <w:wordWrap/>
              <w:overflowPunct/>
              <w:topLinePunct w:val="0"/>
              <w:autoSpaceDE/>
              <w:autoSpaceDN/>
              <w:bidi w:val="0"/>
              <w:adjustRightInd/>
              <w:snapToGrid/>
              <w:spacing w:before="0" w:after="0" w:line="400" w:lineRule="exact"/>
              <w:ind w:left="0" w:leftChars="0"/>
              <w:textAlignment w:val="auto"/>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学习反思</w:t>
            </w:r>
            <w:r>
              <w:rPr>
                <w:rFonts w:hint="eastAsia" w:ascii="仿宋_GB2312" w:hAnsi="仿宋_GB2312" w:eastAsia="仿宋_GB2312" w:cs="仿宋_GB2312"/>
                <w:color w:val="auto"/>
                <w:kern w:val="2"/>
                <w:sz w:val="28"/>
                <w:szCs w:val="28"/>
                <w:lang w:eastAsia="zh-CN"/>
              </w:rPr>
              <w:t>：</w:t>
            </w:r>
          </w:p>
          <w:p w14:paraId="015D2A5F">
            <w:pPr>
              <w:pStyle w:val="16"/>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14:paraId="27F3D72C">
            <w:pPr>
              <w:pStyle w:val="16"/>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8"/>
                <w:szCs w:val="28"/>
              </w:rPr>
            </w:pPr>
          </w:p>
        </w:tc>
      </w:tr>
      <w:tr w14:paraId="07D65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82" w:type="dxa"/>
            <w:gridSpan w:val="5"/>
            <w:shd w:val="clear" w:color="auto" w:fill="D9E2F3"/>
            <w:noWrap w:val="0"/>
            <w:vAlign w:val="center"/>
          </w:tcPr>
          <w:p w14:paraId="652F133A">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七、教学流程结构</w:t>
            </w:r>
          </w:p>
        </w:tc>
      </w:tr>
      <w:tr w14:paraId="76C86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82" w:type="dxa"/>
            <w:gridSpan w:val="5"/>
            <w:shd w:val="clear" w:color="auto" w:fill="FFFFFF"/>
            <w:noWrap w:val="0"/>
            <w:vAlign w:val="center"/>
          </w:tcPr>
          <w:p w14:paraId="0A117E82">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宋体" w:hAnsi="宋体"/>
                <w:b/>
                <w:color w:val="auto"/>
                <w:sz w:val="28"/>
                <w:szCs w:val="28"/>
              </w:rPr>
            </w:pPr>
            <w:r>
              <w:rPr>
                <w:rFonts w:hint="eastAsia" w:ascii="宋体" w:hAnsi="宋体"/>
                <w:b/>
                <w:color w:val="auto"/>
                <w:sz w:val="28"/>
                <w:szCs w:val="28"/>
              </w:rPr>
              <w:t>（可视化展示教学流程结构，为总结教学模式提供基础</w:t>
            </w:r>
            <w:r>
              <w:rPr>
                <w:rFonts w:hint="eastAsia" w:ascii="宋体" w:hAnsi="宋体"/>
                <w:b/>
                <w:color w:val="auto"/>
                <w:sz w:val="28"/>
                <w:szCs w:val="28"/>
                <w:lang w:eastAsia="zh-CN"/>
              </w:rPr>
              <w:t>，</w:t>
            </w:r>
            <w:r>
              <w:rPr>
                <w:rFonts w:hint="eastAsia" w:ascii="宋体" w:hAnsi="宋体"/>
                <w:b/>
                <w:color w:val="auto"/>
                <w:sz w:val="28"/>
                <w:szCs w:val="28"/>
                <w:lang w:val="en-US" w:eastAsia="zh-CN"/>
              </w:rPr>
              <w:t>可参考下图形式</w:t>
            </w:r>
            <w:r>
              <w:rPr>
                <w:rFonts w:hint="eastAsia" w:ascii="宋体" w:hAnsi="宋体"/>
                <w:b/>
                <w:color w:val="auto"/>
                <w:sz w:val="28"/>
                <w:szCs w:val="28"/>
              </w:rPr>
              <w:t>）</w:t>
            </w:r>
          </w:p>
          <w:p w14:paraId="6AD120C6">
            <w:pPr>
              <w:pStyle w:val="2"/>
            </w:pPr>
          </w:p>
          <w:p w14:paraId="570EEED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ascii="楷体" w:hAnsi="楷体" w:eastAsia="楷体"/>
                <w:b/>
                <w:color w:val="auto"/>
                <w:sz w:val="28"/>
                <w:szCs w:val="28"/>
              </w:rPr>
            </w:pPr>
            <w:r>
              <w:rPr>
                <w:rFonts w:ascii="等线" w:hAnsi="等线" w:eastAsia="等线"/>
                <w:color w:val="auto"/>
                <w:sz w:val="28"/>
                <w:szCs w:val="28"/>
              </w:rPr>
              <w:drawing>
                <wp:inline distT="0" distB="0" distL="114300" distR="114300">
                  <wp:extent cx="3884295" cy="4445635"/>
                  <wp:effectExtent l="0" t="0" r="190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884295" cy="4445635"/>
                          </a:xfrm>
                          <a:prstGeom prst="rect">
                            <a:avLst/>
                          </a:prstGeom>
                          <a:noFill/>
                          <a:ln>
                            <a:noFill/>
                          </a:ln>
                        </pic:spPr>
                      </pic:pic>
                    </a:graphicData>
                  </a:graphic>
                </wp:inline>
              </w:drawing>
            </w:r>
          </w:p>
        </w:tc>
      </w:tr>
      <w:tr w14:paraId="1E4B0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82" w:type="dxa"/>
            <w:gridSpan w:val="5"/>
            <w:shd w:val="clear" w:color="auto" w:fill="D9E2F3"/>
            <w:noWrap w:val="0"/>
            <w:vAlign w:val="center"/>
          </w:tcPr>
          <w:p w14:paraId="764CE33B">
            <w:pPr>
              <w:keepNext w:val="0"/>
              <w:keepLines w:val="0"/>
              <w:pageBreakBefore w:val="0"/>
              <w:widowControl w:val="0"/>
              <w:kinsoku/>
              <w:wordWrap/>
              <w:overflowPunct/>
              <w:topLinePunct w:val="0"/>
              <w:autoSpaceDE/>
              <w:autoSpaceDN/>
              <w:bidi w:val="0"/>
              <w:adjustRightInd/>
              <w:snapToGrid/>
              <w:spacing w:line="360" w:lineRule="exact"/>
              <w:ind w:left="0" w:left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八、教学评价</w:t>
            </w:r>
          </w:p>
        </w:tc>
      </w:tr>
      <w:tr w14:paraId="26C41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82" w:type="dxa"/>
            <w:gridSpan w:val="5"/>
            <w:noWrap w:val="0"/>
            <w:vAlign w:val="center"/>
          </w:tcPr>
          <w:p w14:paraId="1E225032">
            <w:pPr>
              <w:keepNext w:val="0"/>
              <w:keepLines w:val="0"/>
              <w:pageBreakBefore w:val="0"/>
              <w:widowControl w:val="0"/>
              <w:kinsoku/>
              <w:wordWrap/>
              <w:overflowPunct/>
              <w:topLinePunct w:val="0"/>
              <w:autoSpaceDE/>
              <w:autoSpaceDN/>
              <w:bidi w:val="0"/>
              <w:adjustRightInd/>
              <w:snapToGrid/>
              <w:spacing w:line="260" w:lineRule="exact"/>
              <w:ind w:left="0" w:leftChars="0"/>
              <w:textAlignment w:val="auto"/>
              <w:rPr>
                <w:rFonts w:hint="eastAsia" w:ascii="仿宋_GB2312" w:hAnsi="仿宋_GB2312" w:eastAsia="仿宋_GB2312" w:cs="仿宋_GB2312"/>
                <w:b w:val="0"/>
                <w:bCs/>
                <w:color w:val="auto"/>
                <w:sz w:val="28"/>
                <w:szCs w:val="28"/>
              </w:rPr>
            </w:pPr>
          </w:p>
          <w:p w14:paraId="0198DC4C">
            <w:pPr>
              <w:keepNext w:val="0"/>
              <w:keepLines w:val="0"/>
              <w:pageBreakBefore w:val="0"/>
              <w:widowControl w:val="0"/>
              <w:kinsoku/>
              <w:wordWrap/>
              <w:overflowPunct/>
              <w:topLinePunct w:val="0"/>
              <w:autoSpaceDE/>
              <w:autoSpaceDN/>
              <w:bidi w:val="0"/>
              <w:adjustRightInd/>
              <w:snapToGrid/>
              <w:spacing w:line="260" w:lineRule="exact"/>
              <w:ind w:left="0" w:leftChars="0"/>
              <w:textAlignment w:val="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（说明本节课教学评价的设计，体现教</w:t>
            </w: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b w:val="0"/>
                <w:bCs/>
                <w:color w:val="auto"/>
                <w:sz w:val="24"/>
                <w:szCs w:val="24"/>
              </w:rPr>
              <w:t>学</w:t>
            </w: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b w:val="0"/>
                <w:bCs/>
                <w:color w:val="auto"/>
                <w:sz w:val="24"/>
                <w:szCs w:val="24"/>
              </w:rPr>
              <w:t>评一致性，注重数据驱动的诊断性评价、过程性评价、总结性评价和增值性评价等，注意关注教学目标的达成）</w:t>
            </w:r>
          </w:p>
          <w:p w14:paraId="02DFE221">
            <w:pPr>
              <w:pStyle w:val="2"/>
              <w:ind w:left="0" w:leftChars="0"/>
              <w:rPr>
                <w:rFonts w:hint="eastAsia"/>
                <w:sz w:val="24"/>
                <w:szCs w:val="24"/>
                <w:lang w:eastAsia="zh-CN"/>
              </w:rPr>
            </w:pPr>
          </w:p>
        </w:tc>
      </w:tr>
      <w:tr w14:paraId="50F69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182" w:type="dxa"/>
            <w:gridSpan w:val="5"/>
            <w:shd w:val="clear" w:color="auto" w:fill="D9E2F3"/>
            <w:noWrap w:val="0"/>
            <w:vAlign w:val="center"/>
          </w:tcPr>
          <w:p w14:paraId="439E3F42">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九、特色亮点</w:t>
            </w:r>
          </w:p>
        </w:tc>
      </w:tr>
      <w:tr w14:paraId="52214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9182" w:type="dxa"/>
            <w:gridSpan w:val="5"/>
            <w:noWrap w:val="0"/>
            <w:vAlign w:val="top"/>
          </w:tcPr>
          <w:p w14:paraId="61E18341">
            <w:pPr>
              <w:keepNext w:val="0"/>
              <w:keepLines w:val="0"/>
              <w:pageBreakBefore w:val="0"/>
              <w:widowControl w:val="0"/>
              <w:kinsoku/>
              <w:wordWrap/>
              <w:overflowPunct/>
              <w:topLinePunct w:val="0"/>
              <w:autoSpaceDE/>
              <w:autoSpaceDN/>
              <w:bidi w:val="0"/>
              <w:adjustRightInd/>
              <w:snapToGrid/>
              <w:spacing w:line="260" w:lineRule="exact"/>
              <w:ind w:left="0" w:left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val="0"/>
                <w:bCs/>
                <w:color w:val="auto"/>
                <w:sz w:val="24"/>
                <w:szCs w:val="24"/>
              </w:rPr>
              <w:t>（简要说明单元或课时的特色与创新）</w:t>
            </w:r>
          </w:p>
        </w:tc>
      </w:tr>
      <w:tr w14:paraId="39CC9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182" w:type="dxa"/>
            <w:gridSpan w:val="5"/>
            <w:shd w:val="clear" w:color="auto" w:fill="D9E2F3"/>
            <w:noWrap w:val="0"/>
            <w:vAlign w:val="top"/>
          </w:tcPr>
          <w:p w14:paraId="0851E227">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十、教学反思</w:t>
            </w:r>
          </w:p>
        </w:tc>
      </w:tr>
      <w:tr w14:paraId="415F4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9182" w:type="dxa"/>
            <w:gridSpan w:val="5"/>
            <w:noWrap w:val="0"/>
            <w:vAlign w:val="top"/>
          </w:tcPr>
          <w:p w14:paraId="45188063">
            <w:pPr>
              <w:rPr>
                <w:rFonts w:hint="default"/>
              </w:rPr>
            </w:pPr>
          </w:p>
        </w:tc>
      </w:tr>
    </w:tbl>
    <w:p w14:paraId="48DEA3C9">
      <w:pPr>
        <w:adjustRightInd w:val="0"/>
        <w:snapToGrid w:val="0"/>
        <w:spacing w:line="460" w:lineRule="exact"/>
        <w:rPr>
          <w:rFonts w:hint="eastAsia"/>
          <w:kern w:val="0"/>
          <w:sz w:val="24"/>
        </w:rPr>
      </w:pPr>
      <w:r>
        <w:rPr>
          <w:rFonts w:hint="eastAsia"/>
          <w:kern w:val="0"/>
          <w:sz w:val="24"/>
        </w:rPr>
        <w:t>注：要求撰写设计方案时，语言精练、内容准确，尽可能图文并茂，附上图片、表格、</w:t>
      </w:r>
    </w:p>
    <w:p w14:paraId="7DAD3D70">
      <w:pPr>
        <w:spacing w:line="560" w:lineRule="exact"/>
      </w:pPr>
      <w:r>
        <w:rPr>
          <w:rFonts w:hint="eastAsia"/>
          <w:kern w:val="0"/>
          <w:sz w:val="24"/>
        </w:rPr>
        <w:t>链接等材料。</w:t>
      </w:r>
    </w:p>
    <w:sectPr>
      <w:pgSz w:w="11906" w:h="16838"/>
      <w:pgMar w:top="1928" w:right="1474" w:bottom="1928" w:left="1474" w:header="851" w:footer="124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E43102-2B42-41A4-BB4D-D4AB70FA4DD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E350A5E5-3292-4B9C-8384-9B0711A50249}"/>
  </w:font>
  <w:font w:name="方正小标宋简体">
    <w:panose1 w:val="02000000000000000000"/>
    <w:charset w:val="86"/>
    <w:family w:val="script"/>
    <w:pitch w:val="default"/>
    <w:sig w:usb0="A00002BF" w:usb1="184F6CFA" w:usb2="00000012" w:usb3="00000000" w:csb0="00040001" w:csb1="00000000"/>
    <w:embedRegular r:id="rId3" w:fontKey="{4182CC6D-C7CE-4F7C-B150-4AE7C1788559}"/>
  </w:font>
  <w:font w:name="楷体">
    <w:panose1 w:val="02010609060101010101"/>
    <w:charset w:val="86"/>
    <w:family w:val="modern"/>
    <w:pitch w:val="default"/>
    <w:sig w:usb0="800002BF" w:usb1="38CF7CFA" w:usb2="00000016" w:usb3="00000000" w:csb0="00040001" w:csb1="00000000"/>
    <w:embedRegular r:id="rId4" w:fontKey="{D7D0C1B4-C670-42E8-8084-7BC24E1BEF5C}"/>
  </w:font>
  <w:font w:name="仿宋">
    <w:panose1 w:val="02010609060101010101"/>
    <w:charset w:val="86"/>
    <w:family w:val="modern"/>
    <w:pitch w:val="default"/>
    <w:sig w:usb0="800002BF" w:usb1="38CF7CFA" w:usb2="00000016" w:usb3="00000000" w:csb0="00040001" w:csb1="00000000"/>
    <w:embedRegular r:id="rId5" w:fontKey="{131D1205-357D-431D-B56F-A695E7ECEADB}"/>
  </w:font>
  <w:font w:name="等线">
    <w:panose1 w:val="02010600030101010101"/>
    <w:charset w:val="86"/>
    <w:family w:val="auto"/>
    <w:pitch w:val="default"/>
    <w:sig w:usb0="A00002BF" w:usb1="38CF7CFA" w:usb2="00000016" w:usb3="00000000" w:csb0="0004000F" w:csb1="00000000"/>
    <w:embedRegular r:id="rId6" w:fontKey="{BAFC74AB-A498-42FF-B3B9-B9BB5E47821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C00BE9"/>
    <w:multiLevelType w:val="multilevel"/>
    <w:tmpl w:val="21C00BE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29765DC9"/>
    <w:multiLevelType w:val="multilevel"/>
    <w:tmpl w:val="29765DC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4D741933"/>
    <w:multiLevelType w:val="multilevel"/>
    <w:tmpl w:val="4D74193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56B93CAF"/>
    <w:multiLevelType w:val="multilevel"/>
    <w:tmpl w:val="56B93CA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6906570B"/>
    <w:multiLevelType w:val="multilevel"/>
    <w:tmpl w:val="6906570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7542886A"/>
    <w:multiLevelType w:val="singleLevel"/>
    <w:tmpl w:val="7542886A"/>
    <w:lvl w:ilvl="0" w:tentative="0">
      <w:start w:val="2"/>
      <w:numFmt w:val="chineseCounting"/>
      <w:suff w:val="nothing"/>
      <w:lvlText w:val="%1、"/>
      <w:lvlJc w:val="left"/>
      <w:pPr>
        <w:ind w:left="525" w:leftChars="0" w:firstLine="0" w:firstLineChars="0"/>
      </w:pPr>
      <w:rPr>
        <w:rFonts w:hint="eastAsia"/>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2ZjI0OTUwNGJiOTUwMDM1OGM1YjMzOWZjMGZlNGMifQ=="/>
    <w:docVar w:name="WM_UUID" w:val="69be678b-d6fa-4d00-ae8a-4af3c8b3e008"/>
  </w:docVars>
  <w:rsids>
    <w:rsidRoot w:val="008A7BA6"/>
    <w:rsid w:val="00000CCF"/>
    <w:rsid w:val="00024FD1"/>
    <w:rsid w:val="00032F84"/>
    <w:rsid w:val="0007508B"/>
    <w:rsid w:val="000A2302"/>
    <w:rsid w:val="000A678F"/>
    <w:rsid w:val="000E2515"/>
    <w:rsid w:val="000F6434"/>
    <w:rsid w:val="0014200D"/>
    <w:rsid w:val="00147117"/>
    <w:rsid w:val="001F4FCB"/>
    <w:rsid w:val="001F61D7"/>
    <w:rsid w:val="002A26CA"/>
    <w:rsid w:val="002D2420"/>
    <w:rsid w:val="002E2D55"/>
    <w:rsid w:val="00372BE9"/>
    <w:rsid w:val="00377686"/>
    <w:rsid w:val="00385C1C"/>
    <w:rsid w:val="00392187"/>
    <w:rsid w:val="00392A3F"/>
    <w:rsid w:val="003A3DA0"/>
    <w:rsid w:val="003A71B7"/>
    <w:rsid w:val="003B2151"/>
    <w:rsid w:val="003E4687"/>
    <w:rsid w:val="0042066C"/>
    <w:rsid w:val="00422624"/>
    <w:rsid w:val="004409D9"/>
    <w:rsid w:val="004D22E3"/>
    <w:rsid w:val="004E46B1"/>
    <w:rsid w:val="00534282"/>
    <w:rsid w:val="0055522D"/>
    <w:rsid w:val="005639A7"/>
    <w:rsid w:val="0059301A"/>
    <w:rsid w:val="005B2AE6"/>
    <w:rsid w:val="005B4901"/>
    <w:rsid w:val="005E5FC4"/>
    <w:rsid w:val="005E6918"/>
    <w:rsid w:val="00605F39"/>
    <w:rsid w:val="00652F47"/>
    <w:rsid w:val="00661538"/>
    <w:rsid w:val="006A7A6E"/>
    <w:rsid w:val="006B56A2"/>
    <w:rsid w:val="006D4BF8"/>
    <w:rsid w:val="006D7358"/>
    <w:rsid w:val="007C0D9E"/>
    <w:rsid w:val="007C3812"/>
    <w:rsid w:val="007D6A2E"/>
    <w:rsid w:val="007D7590"/>
    <w:rsid w:val="007F6720"/>
    <w:rsid w:val="00864113"/>
    <w:rsid w:val="00885613"/>
    <w:rsid w:val="008A7BA6"/>
    <w:rsid w:val="008B72FB"/>
    <w:rsid w:val="008F22C3"/>
    <w:rsid w:val="00913325"/>
    <w:rsid w:val="00924879"/>
    <w:rsid w:val="0094555F"/>
    <w:rsid w:val="00957B92"/>
    <w:rsid w:val="00961D3C"/>
    <w:rsid w:val="00966378"/>
    <w:rsid w:val="009C2D37"/>
    <w:rsid w:val="009D588F"/>
    <w:rsid w:val="009F34BF"/>
    <w:rsid w:val="00A13860"/>
    <w:rsid w:val="00A165D6"/>
    <w:rsid w:val="00A222E3"/>
    <w:rsid w:val="00A842F7"/>
    <w:rsid w:val="00B01D18"/>
    <w:rsid w:val="00B465FB"/>
    <w:rsid w:val="00B760E6"/>
    <w:rsid w:val="00B820D5"/>
    <w:rsid w:val="00BD18E8"/>
    <w:rsid w:val="00C027EC"/>
    <w:rsid w:val="00C15CFD"/>
    <w:rsid w:val="00C65DF5"/>
    <w:rsid w:val="00CE4D97"/>
    <w:rsid w:val="00CE69B0"/>
    <w:rsid w:val="00CF4337"/>
    <w:rsid w:val="00CF471C"/>
    <w:rsid w:val="00D261D1"/>
    <w:rsid w:val="00D6285C"/>
    <w:rsid w:val="00D73546"/>
    <w:rsid w:val="00D73E4A"/>
    <w:rsid w:val="00DD6052"/>
    <w:rsid w:val="00DE0250"/>
    <w:rsid w:val="00DF04F4"/>
    <w:rsid w:val="00DF7EF3"/>
    <w:rsid w:val="00E319B7"/>
    <w:rsid w:val="00E3304E"/>
    <w:rsid w:val="00F30CF4"/>
    <w:rsid w:val="00F41C67"/>
    <w:rsid w:val="00F54DBE"/>
    <w:rsid w:val="00F607C7"/>
    <w:rsid w:val="00F63FDB"/>
    <w:rsid w:val="00F76660"/>
    <w:rsid w:val="00FE651A"/>
    <w:rsid w:val="00FF7A42"/>
    <w:rsid w:val="0152679B"/>
    <w:rsid w:val="018A1427"/>
    <w:rsid w:val="02D22791"/>
    <w:rsid w:val="03E2035B"/>
    <w:rsid w:val="03ED538E"/>
    <w:rsid w:val="046C12B8"/>
    <w:rsid w:val="047F6ABA"/>
    <w:rsid w:val="04AE2128"/>
    <w:rsid w:val="04F92399"/>
    <w:rsid w:val="05477F8E"/>
    <w:rsid w:val="06681BF2"/>
    <w:rsid w:val="070B3854"/>
    <w:rsid w:val="070D2663"/>
    <w:rsid w:val="07300CC3"/>
    <w:rsid w:val="0735792C"/>
    <w:rsid w:val="07B42D6F"/>
    <w:rsid w:val="07DA7343"/>
    <w:rsid w:val="08535B04"/>
    <w:rsid w:val="086B737E"/>
    <w:rsid w:val="086E78F6"/>
    <w:rsid w:val="08781807"/>
    <w:rsid w:val="0A0615C6"/>
    <w:rsid w:val="0B2421F1"/>
    <w:rsid w:val="0BAC6568"/>
    <w:rsid w:val="0D61263C"/>
    <w:rsid w:val="0DBB7093"/>
    <w:rsid w:val="0DC50C68"/>
    <w:rsid w:val="0DE43F16"/>
    <w:rsid w:val="0DEC37BE"/>
    <w:rsid w:val="0E5671A3"/>
    <w:rsid w:val="0E5C6FC0"/>
    <w:rsid w:val="0F0668E3"/>
    <w:rsid w:val="0F260848"/>
    <w:rsid w:val="0F381CD8"/>
    <w:rsid w:val="0F990BD9"/>
    <w:rsid w:val="0FB87FAA"/>
    <w:rsid w:val="0FC80472"/>
    <w:rsid w:val="0FFD0011"/>
    <w:rsid w:val="102C2F4A"/>
    <w:rsid w:val="10712A62"/>
    <w:rsid w:val="10BC6AF2"/>
    <w:rsid w:val="10DF26AF"/>
    <w:rsid w:val="11056021"/>
    <w:rsid w:val="11E37BAD"/>
    <w:rsid w:val="12593C9D"/>
    <w:rsid w:val="12897EA1"/>
    <w:rsid w:val="12934D04"/>
    <w:rsid w:val="12A6041A"/>
    <w:rsid w:val="13C454E2"/>
    <w:rsid w:val="14B37296"/>
    <w:rsid w:val="170824B0"/>
    <w:rsid w:val="18706E17"/>
    <w:rsid w:val="189620C2"/>
    <w:rsid w:val="197942C7"/>
    <w:rsid w:val="19862A3A"/>
    <w:rsid w:val="1A807CCA"/>
    <w:rsid w:val="1ABF5A1D"/>
    <w:rsid w:val="1B605DE2"/>
    <w:rsid w:val="1B826A4E"/>
    <w:rsid w:val="1CE663B9"/>
    <w:rsid w:val="1D526A72"/>
    <w:rsid w:val="1D9533CB"/>
    <w:rsid w:val="1DFA635E"/>
    <w:rsid w:val="1E26678F"/>
    <w:rsid w:val="1E491FB2"/>
    <w:rsid w:val="1F6226F9"/>
    <w:rsid w:val="1FAF0D22"/>
    <w:rsid w:val="1FD96CCE"/>
    <w:rsid w:val="1FE87795"/>
    <w:rsid w:val="20992FDD"/>
    <w:rsid w:val="20C56390"/>
    <w:rsid w:val="21873F0B"/>
    <w:rsid w:val="21982FB1"/>
    <w:rsid w:val="21C77C50"/>
    <w:rsid w:val="22EE7610"/>
    <w:rsid w:val="23336810"/>
    <w:rsid w:val="2564142F"/>
    <w:rsid w:val="2681701D"/>
    <w:rsid w:val="26A80CAB"/>
    <w:rsid w:val="26B5038E"/>
    <w:rsid w:val="27912C60"/>
    <w:rsid w:val="27947E6B"/>
    <w:rsid w:val="28203295"/>
    <w:rsid w:val="28372C46"/>
    <w:rsid w:val="28B97DC6"/>
    <w:rsid w:val="29C103EB"/>
    <w:rsid w:val="2A422AD8"/>
    <w:rsid w:val="2A546150"/>
    <w:rsid w:val="2AE462FC"/>
    <w:rsid w:val="2B004AD0"/>
    <w:rsid w:val="2BA47EB6"/>
    <w:rsid w:val="2BA61319"/>
    <w:rsid w:val="2BC312EC"/>
    <w:rsid w:val="2BC6020A"/>
    <w:rsid w:val="2BE768CE"/>
    <w:rsid w:val="2BFD7B37"/>
    <w:rsid w:val="2C2E3FA5"/>
    <w:rsid w:val="2C78176E"/>
    <w:rsid w:val="2CA74693"/>
    <w:rsid w:val="2CC93654"/>
    <w:rsid w:val="2CFC3EB0"/>
    <w:rsid w:val="2D3D4217"/>
    <w:rsid w:val="2DB2721D"/>
    <w:rsid w:val="2DBF7945"/>
    <w:rsid w:val="2DD15B6D"/>
    <w:rsid w:val="2DD42636"/>
    <w:rsid w:val="2E732C4E"/>
    <w:rsid w:val="2F3D5020"/>
    <w:rsid w:val="2FB15E03"/>
    <w:rsid w:val="2FC51E96"/>
    <w:rsid w:val="2FEC6806"/>
    <w:rsid w:val="308753C4"/>
    <w:rsid w:val="309552B7"/>
    <w:rsid w:val="30F844B8"/>
    <w:rsid w:val="32F30490"/>
    <w:rsid w:val="33564728"/>
    <w:rsid w:val="3374662D"/>
    <w:rsid w:val="34A513EB"/>
    <w:rsid w:val="35B65E2C"/>
    <w:rsid w:val="363A4CAF"/>
    <w:rsid w:val="36D05A88"/>
    <w:rsid w:val="37AB7D29"/>
    <w:rsid w:val="396257C8"/>
    <w:rsid w:val="39AD3451"/>
    <w:rsid w:val="3B3C6C82"/>
    <w:rsid w:val="3CA62B83"/>
    <w:rsid w:val="3CD93435"/>
    <w:rsid w:val="3D9B0F74"/>
    <w:rsid w:val="3E1B6E62"/>
    <w:rsid w:val="3F4F1AB4"/>
    <w:rsid w:val="3F593FCA"/>
    <w:rsid w:val="3F9F7F34"/>
    <w:rsid w:val="4064144A"/>
    <w:rsid w:val="41001DB6"/>
    <w:rsid w:val="41136EDD"/>
    <w:rsid w:val="412A0A32"/>
    <w:rsid w:val="41673CB0"/>
    <w:rsid w:val="423746F5"/>
    <w:rsid w:val="424A4C02"/>
    <w:rsid w:val="425A7DAD"/>
    <w:rsid w:val="42986A8A"/>
    <w:rsid w:val="42D21948"/>
    <w:rsid w:val="43343F8B"/>
    <w:rsid w:val="447A4559"/>
    <w:rsid w:val="45191A63"/>
    <w:rsid w:val="46971E4C"/>
    <w:rsid w:val="46DF2798"/>
    <w:rsid w:val="47B54FDF"/>
    <w:rsid w:val="47D10408"/>
    <w:rsid w:val="48DE5895"/>
    <w:rsid w:val="49DA3B4C"/>
    <w:rsid w:val="4A6A4F1F"/>
    <w:rsid w:val="4AAB00B9"/>
    <w:rsid w:val="4ADD471C"/>
    <w:rsid w:val="4B10441E"/>
    <w:rsid w:val="4B685902"/>
    <w:rsid w:val="4C21601E"/>
    <w:rsid w:val="4C3F3AC9"/>
    <w:rsid w:val="4C8422D4"/>
    <w:rsid w:val="4DF20750"/>
    <w:rsid w:val="4E62436D"/>
    <w:rsid w:val="4E9D4C26"/>
    <w:rsid w:val="4EB83247"/>
    <w:rsid w:val="4EB948E2"/>
    <w:rsid w:val="4EFB6B41"/>
    <w:rsid w:val="4F6632A2"/>
    <w:rsid w:val="4F69645A"/>
    <w:rsid w:val="4F8B77F0"/>
    <w:rsid w:val="4FCB6D3F"/>
    <w:rsid w:val="52E6451A"/>
    <w:rsid w:val="537F0E2A"/>
    <w:rsid w:val="53BA0CC5"/>
    <w:rsid w:val="53D13886"/>
    <w:rsid w:val="541331CF"/>
    <w:rsid w:val="54742DF2"/>
    <w:rsid w:val="54A9528D"/>
    <w:rsid w:val="54D1276A"/>
    <w:rsid w:val="54D67860"/>
    <w:rsid w:val="55644DFF"/>
    <w:rsid w:val="56077195"/>
    <w:rsid w:val="56F34EA3"/>
    <w:rsid w:val="57091F5B"/>
    <w:rsid w:val="57213337"/>
    <w:rsid w:val="574D34D1"/>
    <w:rsid w:val="57910DBB"/>
    <w:rsid w:val="57E902CE"/>
    <w:rsid w:val="589D4E47"/>
    <w:rsid w:val="589E290C"/>
    <w:rsid w:val="590A50C2"/>
    <w:rsid w:val="592271C3"/>
    <w:rsid w:val="59D40E1A"/>
    <w:rsid w:val="59E23430"/>
    <w:rsid w:val="59F67B39"/>
    <w:rsid w:val="5A00226E"/>
    <w:rsid w:val="5A2F3042"/>
    <w:rsid w:val="5A3F5EF5"/>
    <w:rsid w:val="5A850525"/>
    <w:rsid w:val="5B70702F"/>
    <w:rsid w:val="5C4A5100"/>
    <w:rsid w:val="5C8A5D5B"/>
    <w:rsid w:val="5CE96177"/>
    <w:rsid w:val="5D066986"/>
    <w:rsid w:val="5E0C59A2"/>
    <w:rsid w:val="5E0F1F6B"/>
    <w:rsid w:val="5E490B54"/>
    <w:rsid w:val="5EB35081"/>
    <w:rsid w:val="5EBB1BB3"/>
    <w:rsid w:val="5ECB30AF"/>
    <w:rsid w:val="5EE44E48"/>
    <w:rsid w:val="5F170B41"/>
    <w:rsid w:val="5FE805DE"/>
    <w:rsid w:val="5FFD2FFB"/>
    <w:rsid w:val="60183E39"/>
    <w:rsid w:val="60577FF8"/>
    <w:rsid w:val="6098238E"/>
    <w:rsid w:val="60BB47E0"/>
    <w:rsid w:val="610B741E"/>
    <w:rsid w:val="61746DE1"/>
    <w:rsid w:val="61956741"/>
    <w:rsid w:val="62A26FBE"/>
    <w:rsid w:val="62A93B91"/>
    <w:rsid w:val="62CC40DE"/>
    <w:rsid w:val="62EC1327"/>
    <w:rsid w:val="631B2074"/>
    <w:rsid w:val="63845C9A"/>
    <w:rsid w:val="63EE6769"/>
    <w:rsid w:val="644075A8"/>
    <w:rsid w:val="645D7F71"/>
    <w:rsid w:val="646A7F85"/>
    <w:rsid w:val="658A6DF6"/>
    <w:rsid w:val="659642F8"/>
    <w:rsid w:val="65B5753E"/>
    <w:rsid w:val="65DD4ABE"/>
    <w:rsid w:val="66C94A28"/>
    <w:rsid w:val="676D5787"/>
    <w:rsid w:val="6848469A"/>
    <w:rsid w:val="68686675"/>
    <w:rsid w:val="68C91A07"/>
    <w:rsid w:val="69004F74"/>
    <w:rsid w:val="69230C63"/>
    <w:rsid w:val="69330A9F"/>
    <w:rsid w:val="69595A0D"/>
    <w:rsid w:val="69A62AAA"/>
    <w:rsid w:val="6A464AE9"/>
    <w:rsid w:val="6B0A66D3"/>
    <w:rsid w:val="6B256E8E"/>
    <w:rsid w:val="6CA420BB"/>
    <w:rsid w:val="6D310A9D"/>
    <w:rsid w:val="6DE76BD1"/>
    <w:rsid w:val="6F1228CC"/>
    <w:rsid w:val="6F8E2379"/>
    <w:rsid w:val="6FED2E6E"/>
    <w:rsid w:val="6FF73391"/>
    <w:rsid w:val="71462098"/>
    <w:rsid w:val="71581648"/>
    <w:rsid w:val="716C78FB"/>
    <w:rsid w:val="72223B22"/>
    <w:rsid w:val="729A4F31"/>
    <w:rsid w:val="72B0612B"/>
    <w:rsid w:val="72D065DE"/>
    <w:rsid w:val="731A236C"/>
    <w:rsid w:val="73E86F94"/>
    <w:rsid w:val="74026296"/>
    <w:rsid w:val="74DE5AA8"/>
    <w:rsid w:val="75D71D1F"/>
    <w:rsid w:val="76CF7E8A"/>
    <w:rsid w:val="770578D0"/>
    <w:rsid w:val="77E15A05"/>
    <w:rsid w:val="77EE718F"/>
    <w:rsid w:val="78150E8B"/>
    <w:rsid w:val="7872683D"/>
    <w:rsid w:val="79605B7E"/>
    <w:rsid w:val="79E877B0"/>
    <w:rsid w:val="7A5D1560"/>
    <w:rsid w:val="7AFD39D1"/>
    <w:rsid w:val="7B5B603A"/>
    <w:rsid w:val="7B9630A2"/>
    <w:rsid w:val="7C3D6D83"/>
    <w:rsid w:val="7C5A1042"/>
    <w:rsid w:val="7C801D57"/>
    <w:rsid w:val="7CF508FD"/>
    <w:rsid w:val="7D99109C"/>
    <w:rsid w:val="7DD52F6A"/>
    <w:rsid w:val="7DFB58B2"/>
    <w:rsid w:val="7E046140"/>
    <w:rsid w:val="7E535F96"/>
    <w:rsid w:val="7EF80256"/>
    <w:rsid w:val="7F58675B"/>
    <w:rsid w:val="7F7064B1"/>
    <w:rsid w:val="7F9A661C"/>
    <w:rsid w:val="7FAE6350"/>
    <w:rsid w:val="7FD85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Cambria" w:hAnsi="Cambria"/>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39"/>
    <w:pPr>
      <w:tabs>
        <w:tab w:val="right" w:leader="dot" w:pos="8296"/>
      </w:tabs>
      <w:spacing w:line="360" w:lineRule="auto"/>
      <w:ind w:left="420" w:leftChars="200"/>
    </w:pPr>
    <w:rPr>
      <w:rFonts w:ascii="黑体" w:hAnsi="黑体" w:eastAsia="黑体"/>
      <w:sz w:val="30"/>
      <w:szCs w:val="30"/>
    </w:rPr>
  </w:style>
  <w:style w:type="paragraph" w:styleId="5">
    <w:name w:val="annotation text"/>
    <w:basedOn w:val="1"/>
    <w:link w:val="17"/>
    <w:autoRedefine/>
    <w:unhideWhenUsed/>
    <w:qFormat/>
    <w:uiPriority w:val="0"/>
    <w:pPr>
      <w:jc w:val="left"/>
    </w:pPr>
  </w:style>
  <w:style w:type="paragraph" w:styleId="6">
    <w:name w:val="Balloon Text"/>
    <w:basedOn w:val="1"/>
    <w:link w:val="19"/>
    <w:autoRedefine/>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18"/>
    <w:unhideWhenUsed/>
    <w:qFormat/>
    <w:uiPriority w:val="99"/>
    <w:rPr>
      <w:b/>
      <w:bCs/>
    </w:rPr>
  </w:style>
  <w:style w:type="character" w:styleId="13">
    <w:name w:val="annotation reference"/>
    <w:basedOn w:val="12"/>
    <w:unhideWhenUsed/>
    <w:qFormat/>
    <w:uiPriority w:val="99"/>
    <w:rPr>
      <w:sz w:val="21"/>
      <w:szCs w:val="21"/>
    </w:rPr>
  </w:style>
  <w:style w:type="character" w:customStyle="1" w:styleId="14">
    <w:name w:val="页眉 Char"/>
    <w:basedOn w:val="12"/>
    <w:link w:val="8"/>
    <w:qFormat/>
    <w:uiPriority w:val="99"/>
    <w:rPr>
      <w:sz w:val="18"/>
      <w:szCs w:val="18"/>
    </w:rPr>
  </w:style>
  <w:style w:type="character" w:customStyle="1" w:styleId="15">
    <w:name w:val="页脚 Char"/>
    <w:basedOn w:val="12"/>
    <w:link w:val="7"/>
    <w:qFormat/>
    <w:uiPriority w:val="99"/>
    <w:rPr>
      <w:sz w:val="18"/>
      <w:szCs w:val="18"/>
    </w:rPr>
  </w:style>
  <w:style w:type="paragraph" w:customStyle="1" w:styleId="16">
    <w:name w:val="列表段落1"/>
    <w:basedOn w:val="1"/>
    <w:qFormat/>
    <w:uiPriority w:val="34"/>
    <w:pPr>
      <w:ind w:firstLine="420" w:firstLineChars="200"/>
    </w:pPr>
  </w:style>
  <w:style w:type="character" w:customStyle="1" w:styleId="17">
    <w:name w:val="批注文字 Char"/>
    <w:basedOn w:val="12"/>
    <w:link w:val="5"/>
    <w:semiHidden/>
    <w:qFormat/>
    <w:uiPriority w:val="0"/>
    <w:rPr>
      <w:rFonts w:ascii="Times New Roman" w:hAnsi="Times New Roman" w:eastAsia="宋体" w:cs="Times New Roman"/>
      <w:szCs w:val="24"/>
    </w:rPr>
  </w:style>
  <w:style w:type="character" w:customStyle="1" w:styleId="18">
    <w:name w:val="批注主题 Char"/>
    <w:basedOn w:val="17"/>
    <w:link w:val="10"/>
    <w:semiHidden/>
    <w:qFormat/>
    <w:uiPriority w:val="99"/>
    <w:rPr>
      <w:rFonts w:ascii="Times New Roman" w:hAnsi="Times New Roman" w:eastAsia="宋体" w:cs="Times New Roman"/>
      <w:b/>
      <w:bCs/>
      <w:szCs w:val="24"/>
    </w:rPr>
  </w:style>
  <w:style w:type="character" w:customStyle="1" w:styleId="19">
    <w:name w:val="批注框文本 Char"/>
    <w:basedOn w:val="12"/>
    <w:link w:val="6"/>
    <w:semiHidden/>
    <w:qFormat/>
    <w:uiPriority w:val="99"/>
    <w:rPr>
      <w:rFonts w:ascii="Times New Roman" w:hAnsi="Times New Roman" w:eastAsia="宋体" w:cs="Times New Roman"/>
      <w:sz w:val="18"/>
      <w:szCs w:val="18"/>
    </w:rPr>
  </w:style>
  <w:style w:type="paragraph" w:customStyle="1" w:styleId="20">
    <w:name w:val="修订1"/>
    <w:hidden/>
    <w:unhideWhenUsed/>
    <w:qFormat/>
    <w:uiPriority w:val="99"/>
    <w:rPr>
      <w:rFonts w:ascii="Times New Roman" w:hAnsi="Times New Roman" w:eastAsia="宋体" w:cs="Times New Roman"/>
      <w:kern w:val="2"/>
      <w:sz w:val="21"/>
      <w:szCs w:val="24"/>
      <w:lang w:val="en-US" w:eastAsia="zh-CN" w:bidi="ar-SA"/>
    </w:rPr>
  </w:style>
  <w:style w:type="paragraph" w:styleId="21">
    <w:name w:val="List Paragraph"/>
    <w:basedOn w:val="1"/>
    <w:unhideWhenUsed/>
    <w:qFormat/>
    <w:uiPriority w:val="99"/>
    <w:pPr>
      <w:ind w:firstLine="420" w:firstLineChars="200"/>
    </w:pPr>
  </w:style>
  <w:style w:type="paragraph" w:customStyle="1" w:styleId="22">
    <w:name w:val="本文件二级标题"/>
    <w:basedOn w:val="4"/>
    <w:qFormat/>
    <w:uiPriority w:val="0"/>
    <w:pPr>
      <w:ind w:firstLine="640" w:firstLineChars="200"/>
    </w:pPr>
    <w:rPr>
      <w:bCs w:val="0"/>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5568</Words>
  <Characters>5897</Characters>
  <Lines>61</Lines>
  <Paragraphs>17</Paragraphs>
  <TotalTime>2</TotalTime>
  <ScaleCrop>false</ScaleCrop>
  <LinksUpToDate>false</LinksUpToDate>
  <CharactersWithSpaces>5903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2021-03-12T06:04:00Z</dcterms:created>
  <dc:creator>蔡 午</dc:creator>
  <cp:lastModifiedBy>潘斯特星球阿布</cp:lastModifiedBy>
  <dcterms:modified xsi:type="dcterms:W3CDTF">2025-03-11T07:58:45Z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051EC4BADAA94DFDB14D29EFF8F8483F</vt:lpwstr>
  </property>
  <property fmtid="{D5CDD505-2E9C-101B-9397-08002B2CF9AE}" pid="4" name="KSOTemplateDocerSaveRecord">
    <vt:lpwstr>eyJoZGlkIjoiOTk2ZGZkOTMxZjNmZTViOTNhMzM1ZmI2ZTYxYzQ2YzgiLCJ1c2VySWQiOiI1NjI2MTk0OTAifQ==</vt:lpwstr>
  </property>
</Properties>
</file>