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2</w:t>
      </w:r>
    </w:p>
    <w:p>
      <w:pPr>
        <w:pStyle w:val="2"/>
        <w:rPr>
          <w:rFonts w:hint="default" w:ascii="Times New Roman" w:hAnsi="Times New Roman" w:cs="Times New Roman"/>
          <w:lang w:val="en-US" w:eastAsia="zh-CN"/>
        </w:rPr>
      </w:pPr>
    </w:p>
    <w:p>
      <w:pPr>
        <w:snapToGrid w:val="0"/>
        <w:spacing w:line="56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广州市越秀区来穗人员随迁子女积分制入学小学指标及分值体系表</w:t>
      </w:r>
    </w:p>
    <w:p>
      <w:pPr>
        <w:pStyle w:val="2"/>
        <w:rPr>
          <w:rFonts w:hint="default" w:ascii="Times New Roman" w:hAnsi="Times New Roman" w:cs="Times New Roman"/>
        </w:rPr>
      </w:pPr>
    </w:p>
    <w:tbl>
      <w:tblPr>
        <w:tblStyle w:val="5"/>
        <w:tblW w:w="9705"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585"/>
        <w:gridCol w:w="720"/>
        <w:gridCol w:w="1140"/>
        <w:gridCol w:w="4139"/>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231" w:type="dxa"/>
            <w:gridSpan w:val="2"/>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类别</w:t>
            </w:r>
          </w:p>
        </w:tc>
        <w:tc>
          <w:tcPr>
            <w:tcW w:w="720"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序号</w:t>
            </w:r>
          </w:p>
        </w:tc>
        <w:tc>
          <w:tcPr>
            <w:tcW w:w="1140"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w:t>
            </w:r>
          </w:p>
        </w:tc>
        <w:tc>
          <w:tcPr>
            <w:tcW w:w="4139"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指标内容及分值</w:t>
            </w:r>
          </w:p>
        </w:tc>
        <w:tc>
          <w:tcPr>
            <w:tcW w:w="2475"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5" w:hRule="atLeast"/>
        </w:trPr>
        <w:tc>
          <w:tcPr>
            <w:tcW w:w="646" w:type="dxa"/>
            <w:vMerge w:val="restart"/>
            <w:noWrap w:val="0"/>
            <w:vAlign w:val="center"/>
          </w:tcPr>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“广州市来穗人员积分制服务管理信息系统”指标</w:t>
            </w:r>
          </w:p>
        </w:tc>
        <w:tc>
          <w:tcPr>
            <w:tcW w:w="585" w:type="dxa"/>
            <w:vMerge w:val="restart"/>
            <w:noWrap w:val="0"/>
            <w:vAlign w:val="center"/>
          </w:tcPr>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基</w:t>
            </w:r>
          </w:p>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础</w:t>
            </w:r>
          </w:p>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指</w:t>
            </w:r>
          </w:p>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标</w:t>
            </w:r>
          </w:p>
        </w:tc>
        <w:tc>
          <w:tcPr>
            <w:tcW w:w="720" w:type="dxa"/>
            <w:noWrap w:val="0"/>
            <w:vAlign w:val="center"/>
          </w:tcPr>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1</w:t>
            </w:r>
          </w:p>
        </w:tc>
        <w:tc>
          <w:tcPr>
            <w:tcW w:w="1140" w:type="dxa"/>
            <w:noWrap w:val="0"/>
            <w:vAlign w:val="center"/>
          </w:tcPr>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合法稳定</w:t>
            </w:r>
          </w:p>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住所</w:t>
            </w:r>
          </w:p>
        </w:tc>
        <w:tc>
          <w:tcPr>
            <w:tcW w:w="4139" w:type="dxa"/>
            <w:noWrap w:val="0"/>
            <w:vAlign w:val="center"/>
          </w:tcPr>
          <w:p>
            <w:pPr>
              <w:spacing w:line="280" w:lineRule="exact"/>
              <w:ind w:firstLine="420" w:firstLineChars="200"/>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1.在广州市办理《广东省居住证》，每满1年计8分。</w:t>
            </w:r>
          </w:p>
          <w:p>
            <w:pPr>
              <w:spacing w:line="280" w:lineRule="exact"/>
              <w:ind w:firstLine="420" w:firstLineChars="200"/>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2.在广州市累计居住年限：</w:t>
            </w:r>
          </w:p>
          <w:p>
            <w:pPr>
              <w:spacing w:line="280" w:lineRule="exact"/>
              <w:ind w:firstLine="420" w:firstLineChars="200"/>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（1）合法产权住所（20分）；</w:t>
            </w:r>
          </w:p>
          <w:p>
            <w:pPr>
              <w:spacing w:line="280" w:lineRule="exact"/>
              <w:ind w:firstLine="420" w:firstLineChars="200"/>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（2）合法租赁住所或单位宿舍，每满1年计5分，最高不超过20分。</w:t>
            </w:r>
          </w:p>
          <w:p>
            <w:pPr>
              <w:spacing w:line="280" w:lineRule="exact"/>
              <w:ind w:firstLine="420" w:firstLineChars="200"/>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3.申请人居住地由越秀区、海珠区、荔湾区、天河区转移到本市其他行政区的，每满1年计2分，最高不超过10分。</w:t>
            </w:r>
          </w:p>
        </w:tc>
        <w:tc>
          <w:tcPr>
            <w:tcW w:w="2475" w:type="dxa"/>
            <w:noWrap w:val="0"/>
            <w:vAlign w:val="center"/>
          </w:tcPr>
          <w:p>
            <w:pPr>
              <w:spacing w:line="280" w:lineRule="exact"/>
              <w:ind w:firstLine="420" w:firstLineChars="200"/>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既有合法产权住房、又有合法租赁住房的，由申请人选择其中一项计分。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5" w:hRule="atLeast"/>
        </w:trPr>
        <w:tc>
          <w:tcPr>
            <w:tcW w:w="646" w:type="dxa"/>
            <w:vMerge w:val="continue"/>
            <w:noWrap w:val="0"/>
            <w:vAlign w:val="center"/>
          </w:tcPr>
          <w:p>
            <w:pPr>
              <w:spacing w:line="280" w:lineRule="exact"/>
              <w:rPr>
                <w:rFonts w:hint="default" w:ascii="Times New Roman" w:hAnsi="Times New Roman" w:cs="Times New Roman" w:eastAsiaTheme="minorEastAsia"/>
                <w:color w:val="auto"/>
                <w:szCs w:val="21"/>
              </w:rPr>
            </w:pPr>
          </w:p>
        </w:tc>
        <w:tc>
          <w:tcPr>
            <w:tcW w:w="585" w:type="dxa"/>
            <w:vMerge w:val="continue"/>
            <w:noWrap w:val="0"/>
            <w:vAlign w:val="center"/>
          </w:tcPr>
          <w:p>
            <w:pPr>
              <w:spacing w:line="280" w:lineRule="exact"/>
              <w:jc w:val="center"/>
              <w:rPr>
                <w:rFonts w:hint="default" w:ascii="Times New Roman" w:hAnsi="Times New Roman" w:cs="Times New Roman" w:eastAsiaTheme="minorEastAsia"/>
                <w:color w:val="auto"/>
                <w:szCs w:val="21"/>
              </w:rPr>
            </w:pPr>
          </w:p>
        </w:tc>
        <w:tc>
          <w:tcPr>
            <w:tcW w:w="720" w:type="dxa"/>
            <w:noWrap w:val="0"/>
            <w:vAlign w:val="center"/>
          </w:tcPr>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2</w:t>
            </w:r>
          </w:p>
        </w:tc>
        <w:tc>
          <w:tcPr>
            <w:tcW w:w="1140" w:type="dxa"/>
            <w:noWrap w:val="0"/>
            <w:vAlign w:val="center"/>
          </w:tcPr>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合法稳定</w:t>
            </w:r>
          </w:p>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就业</w:t>
            </w:r>
          </w:p>
        </w:tc>
        <w:tc>
          <w:tcPr>
            <w:tcW w:w="4139" w:type="dxa"/>
            <w:noWrap w:val="0"/>
            <w:vAlign w:val="center"/>
          </w:tcPr>
          <w:p>
            <w:pPr>
              <w:spacing w:line="280" w:lineRule="exact"/>
              <w:ind w:firstLine="420" w:firstLineChars="200"/>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1.在广州市就业（创业）并参加城镇基本养老保险、社会医疗保险（含职工社会医疗保险及城乡居民医疗保险）、失业保险、工伤保险、生育保险，每个险种每满1年计2分。</w:t>
            </w:r>
          </w:p>
          <w:p>
            <w:pPr>
              <w:spacing w:line="280" w:lineRule="exact"/>
              <w:ind w:firstLine="420" w:firstLineChars="200"/>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2.在广州市就业（创业）并缴存住房公积金，每满1年计2分。</w:t>
            </w:r>
          </w:p>
        </w:tc>
        <w:tc>
          <w:tcPr>
            <w:tcW w:w="2475" w:type="dxa"/>
            <w:noWrap w:val="0"/>
            <w:vAlign w:val="center"/>
          </w:tcPr>
          <w:p>
            <w:pPr>
              <w:spacing w:line="280" w:lineRule="exact"/>
              <w:ind w:firstLine="420" w:firstLineChars="200"/>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1.失业保险基金代缴的职工社会医疗保险缴费年限及外来工医保年限纳入医保累计缴费时间。外地转入社保、补缴社保不计算年限，重复参保期间不重复计算年限。</w:t>
            </w:r>
          </w:p>
          <w:p>
            <w:pPr>
              <w:spacing w:line="280" w:lineRule="exact"/>
              <w:ind w:firstLine="420" w:firstLineChars="200"/>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2.异地转入住房公积金、补缴住房公积金不计算年限。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0" w:hRule="atLeast"/>
        </w:trPr>
        <w:tc>
          <w:tcPr>
            <w:tcW w:w="646" w:type="dxa"/>
            <w:vMerge w:val="continue"/>
            <w:noWrap w:val="0"/>
            <w:vAlign w:val="center"/>
          </w:tcPr>
          <w:p>
            <w:pPr>
              <w:spacing w:line="280" w:lineRule="exact"/>
              <w:rPr>
                <w:rFonts w:hint="default" w:ascii="Times New Roman" w:hAnsi="Times New Roman" w:cs="Times New Roman" w:eastAsiaTheme="minorEastAsia"/>
                <w:color w:val="auto"/>
                <w:szCs w:val="21"/>
              </w:rPr>
            </w:pPr>
          </w:p>
        </w:tc>
        <w:tc>
          <w:tcPr>
            <w:tcW w:w="585" w:type="dxa"/>
            <w:vMerge w:val="restart"/>
            <w:noWrap w:val="0"/>
            <w:vAlign w:val="center"/>
          </w:tcPr>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加分指标</w:t>
            </w:r>
          </w:p>
        </w:tc>
        <w:tc>
          <w:tcPr>
            <w:tcW w:w="720" w:type="dxa"/>
            <w:noWrap w:val="0"/>
            <w:vAlign w:val="center"/>
          </w:tcPr>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1</w:t>
            </w:r>
          </w:p>
        </w:tc>
        <w:tc>
          <w:tcPr>
            <w:tcW w:w="1140" w:type="dxa"/>
            <w:noWrap w:val="0"/>
            <w:vAlign w:val="center"/>
          </w:tcPr>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创新能力</w:t>
            </w:r>
          </w:p>
        </w:tc>
        <w:tc>
          <w:tcPr>
            <w:tcW w:w="4139" w:type="dxa"/>
            <w:noWrap w:val="0"/>
            <w:vAlign w:val="center"/>
          </w:tcPr>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1.近5年获得授权的有效专利且授权时的地址为广州市辖区的专利发明人，按以下标准给予计分：</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属发明专利的，每项专利按20分/（人数）计算。最高不超过40分。</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2.在广州市高新技术企业、新型研发机构从事技术创新和研发的申请人，工作每满1年计2分，最高不超过10分。</w:t>
            </w:r>
          </w:p>
        </w:tc>
        <w:tc>
          <w:tcPr>
            <w:tcW w:w="2475" w:type="dxa"/>
            <w:noWrap w:val="0"/>
            <w:vAlign w:val="center"/>
          </w:tcPr>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1.专利授权后，专利发明人发生变更的，不予</w:t>
            </w:r>
            <w:r>
              <w:rPr>
                <w:rFonts w:hint="default" w:ascii="Times New Roman" w:hAnsi="Times New Roman" w:cs="Times New Roman" w:eastAsiaTheme="minorEastAsia"/>
                <w:color w:val="auto"/>
                <w:sz w:val="21"/>
                <w:szCs w:val="21"/>
                <w:lang w:eastAsia="zh-CN"/>
              </w:rPr>
              <w:t>计</w:t>
            </w:r>
            <w:r>
              <w:rPr>
                <w:rFonts w:hint="default" w:ascii="Times New Roman" w:hAnsi="Times New Roman" w:cs="Times New Roman" w:eastAsiaTheme="minorEastAsia"/>
                <w:color w:val="auto"/>
                <w:sz w:val="21"/>
                <w:szCs w:val="21"/>
              </w:rPr>
              <w:t>分；专利地址变更到非广州市辖区内的，不予</w:t>
            </w:r>
            <w:r>
              <w:rPr>
                <w:rFonts w:hint="default" w:ascii="Times New Roman" w:hAnsi="Times New Roman" w:cs="Times New Roman" w:eastAsiaTheme="minorEastAsia"/>
                <w:color w:val="auto"/>
                <w:sz w:val="21"/>
                <w:szCs w:val="21"/>
                <w:lang w:eastAsia="zh-CN"/>
              </w:rPr>
              <w:t>计</w:t>
            </w:r>
            <w:r>
              <w:rPr>
                <w:rFonts w:hint="default" w:ascii="Times New Roman" w:hAnsi="Times New Roman" w:cs="Times New Roman" w:eastAsiaTheme="minorEastAsia"/>
                <w:color w:val="auto"/>
                <w:sz w:val="21"/>
                <w:szCs w:val="21"/>
              </w:rPr>
              <w:t>分。</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2.对同时满足1和2两项条件的，可以累计计分。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trPr>
        <w:tc>
          <w:tcPr>
            <w:tcW w:w="646" w:type="dxa"/>
            <w:vMerge w:val="continue"/>
            <w:noWrap w:val="0"/>
            <w:vAlign w:val="center"/>
          </w:tcPr>
          <w:p>
            <w:pPr>
              <w:spacing w:line="280" w:lineRule="exact"/>
              <w:rPr>
                <w:rFonts w:hint="default" w:ascii="Times New Roman" w:hAnsi="Times New Roman" w:cs="Times New Roman" w:eastAsiaTheme="minorEastAsia"/>
                <w:color w:val="auto"/>
                <w:szCs w:val="21"/>
              </w:rPr>
            </w:pPr>
          </w:p>
        </w:tc>
        <w:tc>
          <w:tcPr>
            <w:tcW w:w="585" w:type="dxa"/>
            <w:vMerge w:val="continue"/>
            <w:noWrap w:val="0"/>
            <w:vAlign w:val="center"/>
          </w:tcPr>
          <w:p>
            <w:pPr>
              <w:spacing w:line="280" w:lineRule="exact"/>
              <w:jc w:val="center"/>
              <w:rPr>
                <w:rFonts w:hint="default" w:ascii="Times New Roman" w:hAnsi="Times New Roman" w:cs="Times New Roman" w:eastAsiaTheme="minorEastAsia"/>
                <w:color w:val="auto"/>
                <w:szCs w:val="21"/>
              </w:rPr>
            </w:pPr>
          </w:p>
        </w:tc>
        <w:tc>
          <w:tcPr>
            <w:tcW w:w="720" w:type="dxa"/>
            <w:noWrap w:val="0"/>
            <w:vAlign w:val="center"/>
          </w:tcPr>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2</w:t>
            </w:r>
          </w:p>
        </w:tc>
        <w:tc>
          <w:tcPr>
            <w:tcW w:w="1140" w:type="dxa"/>
            <w:noWrap w:val="0"/>
            <w:vAlign w:val="center"/>
          </w:tcPr>
          <w:p>
            <w:pPr>
              <w:pStyle w:val="4"/>
              <w:widowControl/>
              <w:adjustRightInd w:val="0"/>
              <w:snapToGrid w:val="0"/>
              <w:spacing w:line="300" w:lineRule="exac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急需工种或职业资格（职业技能等级）、服务行业</w:t>
            </w:r>
          </w:p>
        </w:tc>
        <w:tc>
          <w:tcPr>
            <w:tcW w:w="4139" w:type="dxa"/>
            <w:noWrap w:val="0"/>
            <w:vAlign w:val="center"/>
          </w:tcPr>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1.职业工种或职业资格符合当年广州市积分急需工种或职业资格目录（10分）</w:t>
            </w:r>
            <w:r>
              <w:rPr>
                <w:rFonts w:hint="default" w:ascii="Times New Roman" w:hAnsi="Times New Roman" w:cs="Times New Roman" w:eastAsiaTheme="minorEastAsia"/>
                <w:color w:val="auto"/>
                <w:sz w:val="21"/>
                <w:szCs w:val="21"/>
                <w:lang w:eastAsia="zh-CN"/>
              </w:rPr>
              <w:t>；</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2.现正从事特殊艰苦行业一线人员（10分）。工作每满1年再加计5分，最高再加分不超过20分。</w:t>
            </w:r>
          </w:p>
        </w:tc>
        <w:tc>
          <w:tcPr>
            <w:tcW w:w="2475" w:type="dxa"/>
            <w:noWrap w:val="0"/>
            <w:vAlign w:val="center"/>
          </w:tcPr>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p>
        </w:tc>
      </w:tr>
    </w:tbl>
    <w:p>
      <w:pPr>
        <w:pStyle w:val="3"/>
        <w:rPr>
          <w:rFonts w:hint="default" w:ascii="Times New Roman" w:hAnsi="Times New Roman" w:cs="Times New Roman" w:eastAsiaTheme="minorEastAsia"/>
          <w:color w:val="auto"/>
          <w:szCs w:val="21"/>
        </w:rPr>
      </w:pPr>
    </w:p>
    <w:tbl>
      <w:tblPr>
        <w:tblStyle w:val="5"/>
        <w:tblW w:w="9585"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570"/>
        <w:gridCol w:w="720"/>
        <w:gridCol w:w="1140"/>
        <w:gridCol w:w="4129"/>
        <w:gridCol w:w="2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231" w:type="dxa"/>
            <w:gridSpan w:val="2"/>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类别</w:t>
            </w:r>
          </w:p>
        </w:tc>
        <w:tc>
          <w:tcPr>
            <w:tcW w:w="720"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序号</w:t>
            </w:r>
          </w:p>
        </w:tc>
        <w:tc>
          <w:tcPr>
            <w:tcW w:w="1140"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w:t>
            </w:r>
          </w:p>
        </w:tc>
        <w:tc>
          <w:tcPr>
            <w:tcW w:w="4129"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指标内容及分值</w:t>
            </w:r>
          </w:p>
        </w:tc>
        <w:tc>
          <w:tcPr>
            <w:tcW w:w="2365" w:type="dxa"/>
            <w:noWrap w:val="0"/>
            <w:vAlign w:val="center"/>
          </w:tcPr>
          <w:p>
            <w:pPr>
              <w:spacing w:line="240" w:lineRule="exact"/>
              <w:jc w:val="center"/>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trPr>
        <w:tc>
          <w:tcPr>
            <w:tcW w:w="661" w:type="dxa"/>
            <w:vMerge w:val="restart"/>
            <w:noWrap w:val="0"/>
            <w:vAlign w:val="center"/>
          </w:tcPr>
          <w:p>
            <w:pPr>
              <w:spacing w:line="240" w:lineRule="exact"/>
              <w:jc w:val="center"/>
              <w:rPr>
                <w:rFonts w:hint="default" w:ascii="Times New Roman" w:hAnsi="Times New Roman" w:cs="Times New Roman" w:eastAsiaTheme="minorEastAsia"/>
                <w:b/>
                <w:bCs/>
                <w:color w:val="auto"/>
                <w:sz w:val="24"/>
                <w:szCs w:val="24"/>
              </w:rPr>
            </w:pPr>
            <w:r>
              <w:rPr>
                <w:rFonts w:hint="default" w:ascii="Times New Roman" w:hAnsi="Times New Roman" w:cs="Times New Roman" w:eastAsiaTheme="minorEastAsia"/>
                <w:color w:val="auto"/>
                <w:szCs w:val="21"/>
              </w:rPr>
              <w:t>“广州市来穗人员积分制服务管理信息系统”指标</w:t>
            </w:r>
          </w:p>
        </w:tc>
        <w:tc>
          <w:tcPr>
            <w:tcW w:w="570" w:type="dxa"/>
            <w:vMerge w:val="restart"/>
            <w:noWrap w:val="0"/>
            <w:vAlign w:val="center"/>
          </w:tcPr>
          <w:p>
            <w:pPr>
              <w:spacing w:line="240" w:lineRule="exact"/>
              <w:jc w:val="center"/>
              <w:rPr>
                <w:rFonts w:hint="default" w:ascii="Times New Roman" w:hAnsi="Times New Roman" w:cs="Times New Roman" w:eastAsiaTheme="minorEastAsia"/>
                <w:b/>
                <w:bCs/>
                <w:color w:val="auto"/>
                <w:sz w:val="24"/>
                <w:szCs w:val="24"/>
              </w:rPr>
            </w:pPr>
            <w:r>
              <w:rPr>
                <w:rFonts w:hint="default" w:ascii="Times New Roman" w:hAnsi="Times New Roman" w:cs="Times New Roman" w:eastAsiaTheme="minorEastAsia"/>
                <w:color w:val="auto"/>
                <w:szCs w:val="21"/>
              </w:rPr>
              <w:t>加分指标</w:t>
            </w:r>
          </w:p>
        </w:tc>
        <w:tc>
          <w:tcPr>
            <w:tcW w:w="720" w:type="dxa"/>
            <w:noWrap w:val="0"/>
            <w:vAlign w:val="center"/>
          </w:tcPr>
          <w:p>
            <w:pPr>
              <w:spacing w:line="280" w:lineRule="exact"/>
              <w:jc w:val="center"/>
              <w:rPr>
                <w:rFonts w:hint="default" w:ascii="Times New Roman" w:hAnsi="Times New Roman" w:cs="Times New Roman" w:eastAsiaTheme="minorEastAsia"/>
                <w:b/>
                <w:bCs/>
                <w:color w:val="auto"/>
                <w:sz w:val="24"/>
                <w:szCs w:val="24"/>
              </w:rPr>
            </w:pPr>
            <w:r>
              <w:rPr>
                <w:rFonts w:hint="default" w:ascii="Times New Roman" w:hAnsi="Times New Roman" w:cs="Times New Roman" w:eastAsiaTheme="minorEastAsia"/>
                <w:color w:val="auto"/>
                <w:szCs w:val="21"/>
              </w:rPr>
              <w:t>3</w:t>
            </w:r>
          </w:p>
        </w:tc>
        <w:tc>
          <w:tcPr>
            <w:tcW w:w="1140" w:type="dxa"/>
            <w:noWrap w:val="0"/>
            <w:vAlign w:val="center"/>
          </w:tcPr>
          <w:p>
            <w:pPr>
              <w:pStyle w:val="4"/>
              <w:widowControl/>
              <w:adjustRightInd w:val="0"/>
              <w:snapToGrid w:val="0"/>
              <w:spacing w:line="300" w:lineRule="exact"/>
              <w:jc w:val="center"/>
              <w:rPr>
                <w:rFonts w:hint="default" w:ascii="Times New Roman" w:hAnsi="Times New Roman" w:cs="Times New Roman" w:eastAsiaTheme="minorEastAsia"/>
                <w:b/>
                <w:bCs/>
                <w:color w:val="auto"/>
                <w:szCs w:val="24"/>
              </w:rPr>
            </w:pPr>
            <w:r>
              <w:rPr>
                <w:rFonts w:hint="default" w:ascii="Times New Roman" w:hAnsi="Times New Roman" w:cs="Times New Roman" w:eastAsiaTheme="minorEastAsia"/>
                <w:color w:val="auto"/>
                <w:sz w:val="21"/>
                <w:szCs w:val="21"/>
              </w:rPr>
              <w:t>社会服务和公益</w:t>
            </w:r>
          </w:p>
        </w:tc>
        <w:tc>
          <w:tcPr>
            <w:tcW w:w="4129" w:type="dxa"/>
            <w:noWrap w:val="0"/>
            <w:vAlign w:val="center"/>
          </w:tcPr>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1.近5年内，参加献血（每次计2分），单项累计最高不超过10分。</w:t>
            </w:r>
          </w:p>
          <w:p>
            <w:pPr>
              <w:pStyle w:val="4"/>
              <w:widowControl/>
              <w:adjustRightInd w:val="0"/>
              <w:snapToGrid w:val="0"/>
              <w:spacing w:line="300" w:lineRule="exact"/>
              <w:ind w:firstLine="420" w:firstLineChars="200"/>
              <w:rPr>
                <w:rFonts w:hint="default" w:ascii="Times New Roman" w:hAnsi="Times New Roman" w:cs="Times New Roman" w:eastAsiaTheme="minorEastAsia"/>
                <w:b/>
                <w:bCs/>
                <w:color w:val="auto"/>
                <w:szCs w:val="24"/>
              </w:rPr>
            </w:pPr>
            <w:r>
              <w:rPr>
                <w:rFonts w:hint="default" w:ascii="Times New Roman" w:hAnsi="Times New Roman" w:cs="Times New Roman" w:eastAsiaTheme="minorEastAsia"/>
                <w:color w:val="auto"/>
                <w:sz w:val="21"/>
                <w:szCs w:val="21"/>
              </w:rPr>
              <w:t>2.近5年内，参加志愿者（义工）服务（每满50小时计2分）。1年内计分不超过2分，单项累计最高不超过10分。</w:t>
            </w:r>
          </w:p>
        </w:tc>
        <w:tc>
          <w:tcPr>
            <w:tcW w:w="2365" w:type="dxa"/>
            <w:noWrap w:val="0"/>
            <w:vAlign w:val="center"/>
          </w:tcPr>
          <w:p>
            <w:pPr>
              <w:spacing w:line="280" w:lineRule="exact"/>
              <w:ind w:firstLine="482" w:firstLineChars="200"/>
              <w:rPr>
                <w:rFonts w:hint="default" w:ascii="Times New Roman" w:hAnsi="Times New Roman" w:cs="Times New Roman" w:eastAsiaTheme="minorEastAsia"/>
                <w:b/>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5" w:hRule="atLeast"/>
        </w:trPr>
        <w:tc>
          <w:tcPr>
            <w:tcW w:w="661" w:type="dxa"/>
            <w:vMerge w:val="continue"/>
            <w:noWrap w:val="0"/>
            <w:vAlign w:val="center"/>
          </w:tcPr>
          <w:p>
            <w:pPr>
              <w:spacing w:line="240" w:lineRule="exact"/>
              <w:jc w:val="center"/>
              <w:rPr>
                <w:rFonts w:hint="default" w:ascii="Times New Roman" w:hAnsi="Times New Roman" w:cs="Times New Roman" w:eastAsiaTheme="minorEastAsia"/>
                <w:b/>
                <w:bCs/>
                <w:color w:val="auto"/>
                <w:sz w:val="24"/>
                <w:szCs w:val="24"/>
              </w:rPr>
            </w:pPr>
          </w:p>
        </w:tc>
        <w:tc>
          <w:tcPr>
            <w:tcW w:w="570" w:type="dxa"/>
            <w:vMerge w:val="continue"/>
            <w:noWrap w:val="0"/>
            <w:vAlign w:val="center"/>
          </w:tcPr>
          <w:p>
            <w:pPr>
              <w:spacing w:line="240" w:lineRule="exact"/>
              <w:jc w:val="center"/>
              <w:rPr>
                <w:rFonts w:hint="default" w:ascii="Times New Roman" w:hAnsi="Times New Roman" w:cs="Times New Roman" w:eastAsiaTheme="minorEastAsia"/>
                <w:b/>
                <w:bCs/>
                <w:color w:val="auto"/>
                <w:sz w:val="24"/>
                <w:szCs w:val="24"/>
              </w:rPr>
            </w:pPr>
          </w:p>
        </w:tc>
        <w:tc>
          <w:tcPr>
            <w:tcW w:w="720" w:type="dxa"/>
            <w:noWrap w:val="0"/>
            <w:vAlign w:val="center"/>
          </w:tcPr>
          <w:p>
            <w:pPr>
              <w:spacing w:line="280" w:lineRule="exact"/>
              <w:jc w:val="center"/>
              <w:rPr>
                <w:rFonts w:hint="default" w:ascii="Times New Roman" w:hAnsi="Times New Roman" w:cs="Times New Roman" w:eastAsiaTheme="minorEastAsia"/>
                <w:b/>
                <w:bCs/>
                <w:color w:val="auto"/>
                <w:sz w:val="24"/>
                <w:szCs w:val="24"/>
              </w:rPr>
            </w:pPr>
            <w:r>
              <w:rPr>
                <w:rFonts w:hint="default" w:ascii="Times New Roman" w:hAnsi="Times New Roman" w:cs="Times New Roman" w:eastAsiaTheme="minorEastAsia"/>
                <w:color w:val="auto"/>
                <w:szCs w:val="21"/>
              </w:rPr>
              <w:t>4</w:t>
            </w:r>
          </w:p>
        </w:tc>
        <w:tc>
          <w:tcPr>
            <w:tcW w:w="1140" w:type="dxa"/>
            <w:noWrap w:val="0"/>
            <w:vAlign w:val="center"/>
          </w:tcPr>
          <w:p>
            <w:pPr>
              <w:pStyle w:val="4"/>
              <w:widowControl/>
              <w:adjustRightInd w:val="0"/>
              <w:snapToGrid w:val="0"/>
              <w:spacing w:line="300" w:lineRule="exact"/>
              <w:jc w:val="center"/>
              <w:rPr>
                <w:rFonts w:hint="default" w:ascii="Times New Roman" w:hAnsi="Times New Roman" w:cs="Times New Roman" w:eastAsiaTheme="minorEastAsia"/>
                <w:b/>
                <w:bCs/>
                <w:color w:val="auto"/>
                <w:szCs w:val="24"/>
              </w:rPr>
            </w:pPr>
            <w:r>
              <w:rPr>
                <w:rFonts w:hint="default" w:ascii="Times New Roman" w:hAnsi="Times New Roman" w:cs="Times New Roman" w:eastAsiaTheme="minorEastAsia"/>
                <w:color w:val="auto"/>
                <w:sz w:val="21"/>
                <w:szCs w:val="21"/>
              </w:rPr>
              <w:t>纳税情况</w:t>
            </w:r>
          </w:p>
        </w:tc>
        <w:tc>
          <w:tcPr>
            <w:tcW w:w="4129" w:type="dxa"/>
            <w:noWrap w:val="0"/>
            <w:vAlign w:val="center"/>
          </w:tcPr>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对普通劳动者，申报缴纳个人所得税：（1）近3个纳税年度累计在广州市缴纳个人所得税：1万—3万元（含1万元，不含3万元）（4分）；3万—6万元（含3万元，不含6万元）（8分）；6万元以上（含6万元）（12分）。</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（2）近3个纳税年度连续每1年均在广州市申报缴纳综合所得（包括工资薪金所得、劳务报酬所得、稿酬所得，特许权使用费所得）或者经营所得的个人所得税（4分）。</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（3）近1个纳税年度按规定办理个人所得税年度汇算清缴申报（含清缴税款）（2分）。</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2.所投资创办的企业，近3个纳税年度累计在广州市纳税：</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（1）5万—10万元（含5万元，不含10万元）（4分）；</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（2）10万—20万元（含10万元，不含20万元）（8分）；</w:t>
            </w:r>
          </w:p>
          <w:p>
            <w:pPr>
              <w:pStyle w:val="4"/>
              <w:widowControl/>
              <w:adjustRightInd w:val="0"/>
              <w:snapToGrid w:val="0"/>
              <w:spacing w:line="300" w:lineRule="exact"/>
              <w:ind w:firstLine="420" w:firstLineChars="200"/>
              <w:rPr>
                <w:rFonts w:hint="default" w:ascii="Times New Roman" w:hAnsi="Times New Roman" w:cs="Times New Roman" w:eastAsiaTheme="minorEastAsia"/>
                <w:b/>
                <w:bCs/>
                <w:color w:val="auto"/>
                <w:szCs w:val="24"/>
              </w:rPr>
            </w:pPr>
            <w:r>
              <w:rPr>
                <w:rFonts w:hint="default" w:ascii="Times New Roman" w:hAnsi="Times New Roman" w:cs="Times New Roman" w:eastAsiaTheme="minorEastAsia"/>
                <w:color w:val="auto"/>
                <w:sz w:val="21"/>
                <w:szCs w:val="21"/>
              </w:rPr>
              <w:t>（3）20万元以上（含20万元）（12分）。</w:t>
            </w:r>
          </w:p>
        </w:tc>
        <w:tc>
          <w:tcPr>
            <w:tcW w:w="2365" w:type="dxa"/>
            <w:noWrap w:val="0"/>
            <w:vAlign w:val="center"/>
          </w:tcPr>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1.一个纳税年度指当年的1月1日至12月31日。</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2.对同时满足1和2两项条件的，可以累计计分。</w:t>
            </w:r>
          </w:p>
          <w:p>
            <w:pPr>
              <w:pStyle w:val="4"/>
              <w:widowControl/>
              <w:adjustRightInd w:val="0"/>
              <w:snapToGrid w:val="0"/>
              <w:spacing w:line="300" w:lineRule="exact"/>
              <w:ind w:firstLine="482" w:firstLineChars="200"/>
              <w:rPr>
                <w:rFonts w:hint="default" w:ascii="Times New Roman" w:hAnsi="Times New Roman" w:cs="Times New Roman" w:eastAsiaTheme="minorEastAsia"/>
                <w:b/>
                <w:bCs/>
                <w:color w:val="auto"/>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5" w:hRule="atLeast"/>
        </w:trPr>
        <w:tc>
          <w:tcPr>
            <w:tcW w:w="661" w:type="dxa"/>
            <w:vMerge w:val="continue"/>
            <w:noWrap w:val="0"/>
            <w:vAlign w:val="center"/>
          </w:tcPr>
          <w:p>
            <w:pPr>
              <w:spacing w:line="240" w:lineRule="exact"/>
              <w:jc w:val="center"/>
              <w:rPr>
                <w:rFonts w:hint="default" w:ascii="Times New Roman" w:hAnsi="Times New Roman" w:cs="Times New Roman" w:eastAsiaTheme="minorEastAsia"/>
                <w:b/>
                <w:bCs/>
                <w:color w:val="auto"/>
                <w:sz w:val="24"/>
                <w:szCs w:val="24"/>
              </w:rPr>
            </w:pPr>
          </w:p>
        </w:tc>
        <w:tc>
          <w:tcPr>
            <w:tcW w:w="570" w:type="dxa"/>
            <w:vMerge w:val="continue"/>
            <w:noWrap w:val="0"/>
            <w:vAlign w:val="center"/>
          </w:tcPr>
          <w:p>
            <w:pPr>
              <w:spacing w:line="240" w:lineRule="exact"/>
              <w:jc w:val="center"/>
              <w:rPr>
                <w:rFonts w:hint="default" w:ascii="Times New Roman" w:hAnsi="Times New Roman" w:cs="Times New Roman" w:eastAsiaTheme="minorEastAsia"/>
                <w:b/>
                <w:bCs/>
                <w:color w:val="auto"/>
                <w:sz w:val="24"/>
                <w:szCs w:val="24"/>
              </w:rPr>
            </w:pPr>
          </w:p>
        </w:tc>
        <w:tc>
          <w:tcPr>
            <w:tcW w:w="720" w:type="dxa"/>
            <w:noWrap w:val="0"/>
            <w:vAlign w:val="center"/>
          </w:tcPr>
          <w:p>
            <w:pPr>
              <w:spacing w:line="280" w:lineRule="exact"/>
              <w:jc w:val="center"/>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5</w:t>
            </w:r>
          </w:p>
        </w:tc>
        <w:tc>
          <w:tcPr>
            <w:tcW w:w="1140" w:type="dxa"/>
            <w:noWrap w:val="0"/>
            <w:vAlign w:val="center"/>
          </w:tcPr>
          <w:p>
            <w:pPr>
              <w:pStyle w:val="4"/>
              <w:widowControl/>
              <w:adjustRightInd w:val="0"/>
              <w:snapToGrid w:val="0"/>
              <w:spacing w:line="300" w:lineRule="exac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表彰奖项</w:t>
            </w:r>
          </w:p>
        </w:tc>
        <w:tc>
          <w:tcPr>
            <w:tcW w:w="4129" w:type="dxa"/>
            <w:noWrap w:val="0"/>
            <w:vAlign w:val="center"/>
          </w:tcPr>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1.个人获得党中央、国务院授予的奖项和荣誉称号（30分）；</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2.个人获得广东省委、省政府或中央和国家机关部委等授予的劳动模范或先进工作者等荣誉称号（20分）；</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3.个人获得广州市委、市政府授予的奖项和荣誉称号（10分）；</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4.个人获得广州市直机关或各区委、区政府授予的奖项和荣誉称号（5分）</w:t>
            </w:r>
            <w:r>
              <w:rPr>
                <w:rFonts w:hint="default" w:ascii="Times New Roman" w:hAnsi="Times New Roman" w:cs="Times New Roman" w:eastAsiaTheme="minorEastAsia"/>
                <w:color w:val="auto"/>
                <w:sz w:val="21"/>
                <w:szCs w:val="21"/>
                <w:lang w:eastAsia="zh-CN"/>
              </w:rPr>
              <w:t>；</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5.个人获得中央军委授予的荣誉称号（30分）</w:t>
            </w:r>
            <w:r>
              <w:rPr>
                <w:rFonts w:hint="default" w:ascii="Times New Roman" w:hAnsi="Times New Roman" w:cs="Times New Roman" w:eastAsiaTheme="minorEastAsia"/>
                <w:color w:val="auto"/>
                <w:sz w:val="21"/>
                <w:szCs w:val="21"/>
                <w:lang w:eastAsia="zh-CN"/>
              </w:rPr>
              <w:t>；</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6.个人获得一等功（首次20分，累加每次5分）；获得二等功（首次10分，累加每次2分）；获得三等功（首次5分，累加每次1分）。</w:t>
            </w:r>
          </w:p>
        </w:tc>
        <w:tc>
          <w:tcPr>
            <w:tcW w:w="2365" w:type="dxa"/>
            <w:noWrap w:val="0"/>
            <w:vAlign w:val="center"/>
          </w:tcPr>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1.只计个人在广州市工作期间获得的奖项。</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2.同一奖项只取最高分，不同奖项可累计计分。</w:t>
            </w:r>
          </w:p>
          <w:p>
            <w:pPr>
              <w:pStyle w:val="4"/>
              <w:widowControl/>
              <w:adjustRightInd w:val="0"/>
              <w:snapToGrid w:val="0"/>
              <w:spacing w:line="300" w:lineRule="exact"/>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3</w:t>
            </w:r>
            <w:r>
              <w:rPr>
                <w:rFonts w:hint="default" w:ascii="Times New Roman" w:hAnsi="Times New Roman" w:cs="Times New Roman" w:eastAsiaTheme="minorEastAsia"/>
                <w:color w:val="auto"/>
                <w:sz w:val="21"/>
                <w:szCs w:val="21"/>
              </w:rPr>
              <w:t>.服役期间立功受奖情况（指标内容5—6）不受上述限制。</w:t>
            </w:r>
          </w:p>
          <w:p>
            <w:pPr>
              <w:pStyle w:val="4"/>
              <w:widowControl/>
              <w:adjustRightInd w:val="0"/>
              <w:snapToGrid w:val="0"/>
              <w:spacing w:line="300" w:lineRule="exact"/>
              <w:ind w:firstLine="482" w:firstLineChars="200"/>
              <w:rPr>
                <w:rFonts w:hint="default" w:ascii="Times New Roman" w:hAnsi="Times New Roman" w:cs="Times New Roman" w:eastAsiaTheme="minorEastAsia"/>
                <w:b/>
                <w:bCs/>
                <w:color w:val="auto"/>
                <w:szCs w:val="24"/>
              </w:rPr>
            </w:pPr>
          </w:p>
        </w:tc>
      </w:tr>
    </w:tbl>
    <w:p>
      <w:pPr>
        <w:pStyle w:val="3"/>
        <w:rPr>
          <w:rFonts w:hint="default" w:ascii="Times New Roman" w:hAnsi="Times New Roman" w:cs="Times New Roman" w:eastAsiaTheme="minorEastAsia"/>
          <w:color w:val="auto"/>
          <w:szCs w:val="21"/>
        </w:rPr>
      </w:pPr>
    </w:p>
    <w:tbl>
      <w:tblPr>
        <w:tblStyle w:val="5"/>
        <w:tblW w:w="9585"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1"/>
        <w:gridCol w:w="720"/>
        <w:gridCol w:w="1125"/>
        <w:gridCol w:w="4410"/>
        <w:gridCol w:w="2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231" w:type="dxa"/>
            <w:noWrap w:val="0"/>
            <w:vAlign w:val="center"/>
          </w:tcPr>
          <w:p>
            <w:pPr>
              <w:spacing w:line="240" w:lineRule="exact"/>
              <w:jc w:val="both"/>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类别</w:t>
            </w:r>
          </w:p>
        </w:tc>
        <w:tc>
          <w:tcPr>
            <w:tcW w:w="720" w:type="dxa"/>
            <w:noWrap w:val="0"/>
            <w:vAlign w:val="center"/>
          </w:tcPr>
          <w:p>
            <w:pPr>
              <w:spacing w:line="240" w:lineRule="exact"/>
              <w:jc w:val="both"/>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序号</w:t>
            </w:r>
          </w:p>
        </w:tc>
        <w:tc>
          <w:tcPr>
            <w:tcW w:w="1125" w:type="dxa"/>
            <w:noWrap w:val="0"/>
            <w:vAlign w:val="center"/>
          </w:tcPr>
          <w:p>
            <w:pPr>
              <w:spacing w:line="240" w:lineRule="exact"/>
              <w:jc w:val="both"/>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w:t>
            </w:r>
          </w:p>
        </w:tc>
        <w:tc>
          <w:tcPr>
            <w:tcW w:w="4410" w:type="dxa"/>
            <w:noWrap w:val="0"/>
            <w:vAlign w:val="center"/>
          </w:tcPr>
          <w:p>
            <w:pPr>
              <w:spacing w:line="240" w:lineRule="exact"/>
              <w:jc w:val="both"/>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指标内容及分值</w:t>
            </w:r>
          </w:p>
        </w:tc>
        <w:tc>
          <w:tcPr>
            <w:tcW w:w="2099" w:type="dxa"/>
            <w:noWrap w:val="0"/>
            <w:vAlign w:val="center"/>
          </w:tcPr>
          <w:p>
            <w:pPr>
              <w:spacing w:line="240" w:lineRule="exact"/>
              <w:jc w:val="both"/>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1231" w:type="dxa"/>
            <w:vMerge w:val="restart"/>
            <w:noWrap w:val="0"/>
            <w:vAlign w:val="center"/>
          </w:tcPr>
          <w:p>
            <w:pPr>
              <w:spacing w:line="280" w:lineRule="exact"/>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越秀区</w:t>
            </w:r>
          </w:p>
          <w:p>
            <w:pPr>
              <w:spacing w:line="280" w:lineRule="exact"/>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积分指标</w:t>
            </w:r>
          </w:p>
        </w:tc>
        <w:tc>
          <w:tcPr>
            <w:tcW w:w="720" w:type="dxa"/>
            <w:noWrap w:val="0"/>
            <w:vAlign w:val="center"/>
          </w:tcPr>
          <w:p>
            <w:pPr>
              <w:spacing w:line="280" w:lineRule="exact"/>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1</w:t>
            </w:r>
          </w:p>
        </w:tc>
        <w:tc>
          <w:tcPr>
            <w:tcW w:w="1125" w:type="dxa"/>
            <w:noWrap w:val="0"/>
            <w:vAlign w:val="center"/>
          </w:tcPr>
          <w:p>
            <w:pPr>
              <w:spacing w:line="280" w:lineRule="exact"/>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特殊艰苦行业一线人员</w:t>
            </w:r>
          </w:p>
        </w:tc>
        <w:tc>
          <w:tcPr>
            <w:tcW w:w="4410" w:type="dxa"/>
            <w:noWrap w:val="0"/>
            <w:vAlign w:val="center"/>
          </w:tcPr>
          <w:p>
            <w:pPr>
              <w:spacing w:line="280" w:lineRule="exact"/>
              <w:ind w:firstLine="420" w:firstLineChars="200"/>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现正在越秀区所属单位从事特殊艰苦行业一线人员（警务辅助人员、</w:t>
            </w:r>
            <w:r>
              <w:rPr>
                <w:rFonts w:hint="default" w:ascii="Times New Roman" w:hAnsi="Times New Roman" w:cs="Times New Roman" w:eastAsiaTheme="minorEastAsia"/>
                <w:color w:val="auto"/>
                <w:szCs w:val="21"/>
                <w:lang w:eastAsia="zh-CN"/>
              </w:rPr>
              <w:t>医疗卫生机构特殊艰苦一线从业人员</w:t>
            </w:r>
            <w:r>
              <w:rPr>
                <w:rFonts w:hint="default" w:ascii="Times New Roman" w:hAnsi="Times New Roman" w:cs="Times New Roman" w:eastAsiaTheme="minorEastAsia"/>
                <w:color w:val="auto"/>
                <w:szCs w:val="21"/>
              </w:rPr>
              <w:t>、民办学校教师、市政道路养护员、园林绿化养护员、城市管理执法辅助人员、消毒站工作人员、</w:t>
            </w:r>
            <w:r>
              <w:rPr>
                <w:rFonts w:hint="default" w:ascii="Times New Roman" w:hAnsi="Times New Roman" w:cs="Times New Roman" w:eastAsiaTheme="minorEastAsia"/>
                <w:color w:val="auto"/>
                <w:szCs w:val="21"/>
                <w:lang w:val="en-US" w:eastAsia="zh-CN"/>
              </w:rPr>
              <w:t>网格员（含出租屋管理员）</w:t>
            </w:r>
            <w:r>
              <w:rPr>
                <w:rFonts w:hint="default" w:ascii="Times New Roman" w:hAnsi="Times New Roman" w:cs="Times New Roman" w:eastAsiaTheme="minorEastAsia"/>
                <w:color w:val="auto"/>
                <w:szCs w:val="21"/>
              </w:rPr>
              <w:t>），工作每满1年计10分，最高不超过30分。</w:t>
            </w:r>
          </w:p>
        </w:tc>
        <w:tc>
          <w:tcPr>
            <w:tcW w:w="2099" w:type="dxa"/>
            <w:noWrap w:val="0"/>
            <w:vAlign w:val="center"/>
          </w:tcPr>
          <w:p>
            <w:pPr>
              <w:spacing w:line="280" w:lineRule="exact"/>
              <w:ind w:firstLine="420" w:firstLineChars="200"/>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1.申请越秀区从事特殊艰苦行业“警务辅助人员”，</w:t>
            </w:r>
            <w:r>
              <w:rPr>
                <w:rFonts w:hint="default" w:ascii="Times New Roman" w:hAnsi="Times New Roman" w:cs="Times New Roman" w:eastAsiaTheme="minorEastAsia"/>
                <w:color w:val="auto"/>
                <w:szCs w:val="21"/>
                <w:lang w:val="en-US" w:eastAsia="zh-CN"/>
              </w:rPr>
              <w:t>需</w:t>
            </w:r>
            <w:r>
              <w:rPr>
                <w:rFonts w:hint="default" w:ascii="Times New Roman" w:hAnsi="Times New Roman" w:cs="Times New Roman" w:eastAsiaTheme="minorEastAsia"/>
                <w:color w:val="auto"/>
                <w:szCs w:val="21"/>
              </w:rPr>
              <w:t>提供工作证、区属主管单位的人事部门出具的连续就业时长的证明资料</w:t>
            </w:r>
            <w:r>
              <w:rPr>
                <w:rFonts w:hint="default" w:ascii="Times New Roman" w:hAnsi="Times New Roman" w:cs="Times New Roman" w:eastAsiaTheme="minorEastAsia"/>
                <w:color w:val="auto"/>
                <w:szCs w:val="21"/>
                <w:lang w:eastAsia="zh-CN"/>
              </w:rPr>
              <w:t>、</w:t>
            </w:r>
            <w:r>
              <w:rPr>
                <w:rFonts w:hint="default" w:ascii="Times New Roman" w:hAnsi="Times New Roman" w:cs="Times New Roman" w:eastAsiaTheme="minorEastAsia"/>
                <w:color w:val="auto"/>
                <w:szCs w:val="21"/>
              </w:rPr>
              <w:t>与单位签订的劳动合同。</w:t>
            </w:r>
            <w:r>
              <w:rPr>
                <w:rFonts w:hint="default" w:ascii="Times New Roman" w:hAnsi="Times New Roman" w:cs="Times New Roman" w:eastAsiaTheme="minorEastAsia"/>
                <w:color w:val="auto"/>
                <w:szCs w:val="21"/>
              </w:rPr>
              <w:br w:type="textWrapping"/>
            </w:r>
            <w:r>
              <w:rPr>
                <w:rFonts w:hint="default" w:ascii="Times New Roman" w:hAnsi="Times New Roman" w:cs="Times New Roman" w:eastAsiaTheme="minorEastAsia"/>
                <w:color w:val="auto"/>
                <w:szCs w:val="21"/>
                <w:lang w:val="en-US" w:eastAsia="zh-CN"/>
              </w:rPr>
              <w:t xml:space="preserve">    </w:t>
            </w:r>
            <w:r>
              <w:rPr>
                <w:rFonts w:hint="default" w:ascii="Times New Roman" w:hAnsi="Times New Roman" w:cs="Times New Roman" w:eastAsiaTheme="minorEastAsia"/>
                <w:color w:val="auto"/>
                <w:szCs w:val="21"/>
              </w:rPr>
              <w:t>2.除“警务辅助人员”外，需提供区属或街道主管部门出具的连续就业时长的证明资料</w:t>
            </w:r>
            <w:r>
              <w:rPr>
                <w:rFonts w:hint="default" w:ascii="Times New Roman" w:hAnsi="Times New Roman" w:cs="Times New Roman" w:eastAsiaTheme="minorEastAsia"/>
                <w:color w:val="auto"/>
                <w:szCs w:val="21"/>
                <w:lang w:eastAsia="zh-CN"/>
              </w:rPr>
              <w:t>、</w:t>
            </w:r>
            <w:r>
              <w:rPr>
                <w:rFonts w:hint="default" w:ascii="Times New Roman" w:hAnsi="Times New Roman" w:cs="Times New Roman" w:eastAsiaTheme="minorEastAsia"/>
                <w:color w:val="auto"/>
                <w:szCs w:val="21"/>
              </w:rPr>
              <w:t>与单位签订的劳动合同</w:t>
            </w:r>
            <w:r>
              <w:rPr>
                <w:rFonts w:hint="default" w:ascii="Times New Roman" w:hAnsi="Times New Roman" w:cs="Times New Roman" w:eastAsiaTheme="minorEastAsia"/>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1231" w:type="dxa"/>
            <w:vMerge w:val="continue"/>
            <w:noWrap w:val="0"/>
            <w:vAlign w:val="center"/>
          </w:tcPr>
          <w:p>
            <w:pPr>
              <w:spacing w:line="280" w:lineRule="exact"/>
              <w:jc w:val="both"/>
              <w:rPr>
                <w:rFonts w:hint="default" w:ascii="Times New Roman" w:hAnsi="Times New Roman" w:cs="Times New Roman" w:eastAsiaTheme="minorEastAsia"/>
                <w:color w:val="auto"/>
                <w:szCs w:val="21"/>
              </w:rPr>
            </w:pPr>
          </w:p>
        </w:tc>
        <w:tc>
          <w:tcPr>
            <w:tcW w:w="720" w:type="dxa"/>
            <w:noWrap w:val="0"/>
            <w:vAlign w:val="center"/>
          </w:tcPr>
          <w:p>
            <w:pPr>
              <w:spacing w:line="280" w:lineRule="exact"/>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2</w:t>
            </w:r>
          </w:p>
        </w:tc>
        <w:tc>
          <w:tcPr>
            <w:tcW w:w="1125" w:type="dxa"/>
            <w:noWrap w:val="0"/>
            <w:vAlign w:val="center"/>
          </w:tcPr>
          <w:p>
            <w:pPr>
              <w:spacing w:line="280" w:lineRule="exact"/>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荣誉称号</w:t>
            </w:r>
          </w:p>
        </w:tc>
        <w:tc>
          <w:tcPr>
            <w:tcW w:w="4410" w:type="dxa"/>
            <w:noWrap w:val="0"/>
            <w:vAlign w:val="center"/>
          </w:tcPr>
          <w:p>
            <w:pPr>
              <w:spacing w:line="280" w:lineRule="exact"/>
              <w:ind w:firstLine="420" w:firstLineChars="200"/>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现居越秀区并获得 “广州市见义勇为好市民” 称号或荣获2016—2022年度越秀区最美“好房东（好邻居）”“好雇主”“好雇员”、2023年度越秀区最美“来穗星”（“敬业星”“诚信星”“友善星”）称号的，计30分。</w:t>
            </w:r>
          </w:p>
        </w:tc>
        <w:tc>
          <w:tcPr>
            <w:tcW w:w="2099" w:type="dxa"/>
            <w:noWrap w:val="0"/>
            <w:vAlign w:val="center"/>
          </w:tcPr>
          <w:p>
            <w:pPr>
              <w:spacing w:line="280" w:lineRule="exact"/>
              <w:ind w:firstLine="420" w:firstLineChars="200"/>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需提供荣誉称号证书或表彰奖励的证明材料。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1231" w:type="dxa"/>
            <w:vMerge w:val="continue"/>
            <w:noWrap w:val="0"/>
            <w:vAlign w:val="center"/>
          </w:tcPr>
          <w:p>
            <w:pPr>
              <w:spacing w:line="280" w:lineRule="exact"/>
              <w:jc w:val="both"/>
              <w:rPr>
                <w:rFonts w:hint="default" w:ascii="Times New Roman" w:hAnsi="Times New Roman" w:cs="Times New Roman" w:eastAsiaTheme="minorEastAsia"/>
                <w:color w:val="auto"/>
                <w:szCs w:val="21"/>
              </w:rPr>
            </w:pPr>
          </w:p>
        </w:tc>
        <w:tc>
          <w:tcPr>
            <w:tcW w:w="720" w:type="dxa"/>
            <w:noWrap w:val="0"/>
            <w:vAlign w:val="center"/>
          </w:tcPr>
          <w:p>
            <w:pPr>
              <w:spacing w:line="280" w:lineRule="exact"/>
              <w:jc w:val="both"/>
              <w:rPr>
                <w:rFonts w:hint="default" w:ascii="Times New Roman" w:hAnsi="Times New Roman" w:cs="Times New Roman" w:eastAsiaTheme="minorEastAsia"/>
                <w:color w:val="auto"/>
                <w:szCs w:val="21"/>
                <w:lang w:val="en-US" w:eastAsia="zh-CN"/>
              </w:rPr>
            </w:pPr>
            <w:r>
              <w:rPr>
                <w:rFonts w:hint="default" w:ascii="Times New Roman" w:hAnsi="Times New Roman" w:cs="Times New Roman" w:eastAsiaTheme="minorEastAsia"/>
                <w:color w:val="auto"/>
                <w:szCs w:val="21"/>
                <w:lang w:val="en-US" w:eastAsia="zh-CN"/>
              </w:rPr>
              <w:t>3</w:t>
            </w:r>
          </w:p>
        </w:tc>
        <w:tc>
          <w:tcPr>
            <w:tcW w:w="1125" w:type="dxa"/>
            <w:noWrap w:val="0"/>
            <w:vAlign w:val="center"/>
          </w:tcPr>
          <w:p>
            <w:pPr>
              <w:spacing w:line="280" w:lineRule="exact"/>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lang w:val="en-US" w:eastAsia="zh-CN"/>
              </w:rPr>
              <w:t>诚信合规租赁</w:t>
            </w:r>
          </w:p>
        </w:tc>
        <w:tc>
          <w:tcPr>
            <w:tcW w:w="4410" w:type="dxa"/>
            <w:noWrap w:val="0"/>
            <w:vAlign w:val="center"/>
          </w:tcPr>
          <w:p>
            <w:pPr>
              <w:spacing w:line="280" w:lineRule="exact"/>
              <w:ind w:firstLine="420" w:firstLineChars="200"/>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lang w:val="en-US" w:eastAsia="zh-CN"/>
              </w:rPr>
              <w:t>在越秀区租赁房屋居住满一年，自觉遵守流动人员和出租屋管理规定，签订出租屋信用承诺书并履行，所在出租屋获评年度“越秀区守信之星出租屋”称号的，计10分。</w:t>
            </w:r>
          </w:p>
        </w:tc>
        <w:tc>
          <w:tcPr>
            <w:tcW w:w="2099" w:type="dxa"/>
            <w:noWrap w:val="0"/>
            <w:vAlign w:val="center"/>
          </w:tcPr>
          <w:p>
            <w:pPr>
              <w:spacing w:line="280" w:lineRule="exact"/>
              <w:ind w:firstLine="420" w:firstLineChars="200"/>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lang w:val="en-US" w:eastAsia="zh-CN"/>
              </w:rPr>
              <w:t>需提供信用承诺书签署及证书等证明材料。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231" w:type="dxa"/>
            <w:vMerge w:val="continue"/>
            <w:noWrap w:val="0"/>
            <w:vAlign w:val="center"/>
          </w:tcPr>
          <w:p>
            <w:pPr>
              <w:spacing w:line="280" w:lineRule="exact"/>
              <w:jc w:val="both"/>
              <w:rPr>
                <w:rFonts w:hint="default" w:ascii="Times New Roman" w:hAnsi="Times New Roman" w:cs="Times New Roman" w:eastAsiaTheme="minorEastAsia"/>
                <w:color w:val="auto"/>
                <w:szCs w:val="21"/>
              </w:rPr>
            </w:pPr>
          </w:p>
        </w:tc>
        <w:tc>
          <w:tcPr>
            <w:tcW w:w="8354" w:type="dxa"/>
            <w:gridSpan w:val="4"/>
            <w:noWrap w:val="0"/>
            <w:vAlign w:val="center"/>
          </w:tcPr>
          <w:p>
            <w:pPr>
              <w:pStyle w:val="3"/>
              <w:jc w:val="both"/>
              <w:rPr>
                <w:rFonts w:hint="default" w:ascii="Times New Roman" w:hAnsi="Times New Roman" w:cs="Times New Roman" w:eastAsiaTheme="minorEastAsia"/>
                <w:color w:val="auto"/>
                <w:szCs w:val="21"/>
              </w:rPr>
            </w:pPr>
            <w:r>
              <w:rPr>
                <w:rFonts w:hint="default" w:ascii="Times New Roman" w:hAnsi="Times New Roman" w:cs="Times New Roman" w:eastAsiaTheme="minorEastAsia"/>
                <w:color w:val="auto"/>
                <w:szCs w:val="21"/>
              </w:rPr>
              <w:t>注：不同越秀区积分指标可累计积分，累计计算后最高不超过30分。</w:t>
            </w:r>
            <w:bookmarkStart w:id="0" w:name="_GoBack"/>
            <w:bookmarkEnd w:id="0"/>
          </w:p>
        </w:tc>
      </w:tr>
    </w:tbl>
    <w:p>
      <w:pPr>
        <w:pStyle w:val="3"/>
        <w:spacing w:before="45" w:after="3"/>
        <w:ind w:right="2070" w:rightChars="0"/>
        <w:jc w:val="left"/>
        <w:rPr>
          <w:rFonts w:hint="default" w:ascii="Times New Roman" w:hAnsi="Times New Roman" w:cs="Times New Roman" w:eastAsiaTheme="minorEastAsia"/>
          <w:color w:val="auto"/>
          <w:sz w:val="28"/>
          <w:szCs w:val="21"/>
          <w:lang w:val="en-US" w:eastAsia="zh-CN"/>
        </w:rPr>
      </w:pPr>
    </w:p>
    <w:p>
      <w:pPr>
        <w:pStyle w:val="3"/>
        <w:spacing w:before="45" w:after="3"/>
        <w:ind w:right="2070" w:rightChars="0"/>
        <w:jc w:val="left"/>
        <w:rPr>
          <w:rFonts w:hint="default" w:ascii="Times New Roman" w:hAnsi="Times New Roman" w:eastAsia="方正小标宋简体" w:cs="Times New Roman"/>
          <w:color w:val="auto"/>
          <w:sz w:val="28"/>
          <w:szCs w:val="21"/>
          <w:lang w:val="en-US" w:eastAsia="zh-CN"/>
        </w:rPr>
      </w:pPr>
    </w:p>
    <w:p>
      <w:pPr>
        <w:pStyle w:val="3"/>
        <w:spacing w:before="45" w:after="3"/>
        <w:ind w:right="2070" w:rightChars="0"/>
        <w:jc w:val="left"/>
        <w:rPr>
          <w:rFonts w:hint="default" w:ascii="Times New Roman" w:hAnsi="Times New Roman" w:eastAsia="方正小标宋简体" w:cs="Times New Roman"/>
          <w:color w:val="auto"/>
          <w:sz w:val="28"/>
          <w:szCs w:val="21"/>
          <w:lang w:val="en-US" w:eastAsia="zh-CN"/>
        </w:rPr>
      </w:pPr>
    </w:p>
    <w:p>
      <w:pPr>
        <w:pStyle w:val="3"/>
        <w:spacing w:before="45" w:after="3"/>
        <w:ind w:right="2070" w:rightChars="0"/>
        <w:jc w:val="left"/>
        <w:rPr>
          <w:rFonts w:hint="default" w:ascii="Times New Roman" w:hAnsi="Times New Roman" w:eastAsia="方正小标宋简体" w:cs="Times New Roman"/>
          <w:color w:val="auto"/>
          <w:sz w:val="28"/>
          <w:szCs w:val="21"/>
          <w:lang w:val="en-US" w:eastAsia="zh-CN"/>
        </w:rPr>
      </w:pP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mZDFmMmFiMGM3YjNkYTU2YjQzMzY5MjM1MjQwMTIifQ=="/>
  </w:docVars>
  <w:rsids>
    <w:rsidRoot w:val="255C2394"/>
    <w:rsid w:val="039538D0"/>
    <w:rsid w:val="0A1C4093"/>
    <w:rsid w:val="0ADE3553"/>
    <w:rsid w:val="1AE87F11"/>
    <w:rsid w:val="255C2394"/>
    <w:rsid w:val="45CF6F16"/>
    <w:rsid w:val="65E2084F"/>
    <w:rsid w:val="6CE412B4"/>
    <w:rsid w:val="72E82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qFormat/>
    <w:uiPriority w:val="0"/>
    <w:pPr>
      <w:widowControl w:val="0"/>
      <w:spacing w:after="120" w:afterLines="0"/>
      <w:ind w:firstLine="420" w:firstLineChars="100"/>
      <w:jc w:val="both"/>
    </w:pPr>
    <w:rPr>
      <w:rFonts w:ascii="Times New Roman" w:hAnsi="Times New Roman" w:eastAsia="宋体" w:cs="Times New Roman"/>
      <w:kern w:val="2"/>
      <w:sz w:val="21"/>
      <w:lang w:val="en-US" w:eastAsia="zh-CN" w:bidi="ar-SA"/>
    </w:rPr>
  </w:style>
  <w:style w:type="paragraph" w:styleId="3">
    <w:name w:val="Body Text"/>
    <w:qFormat/>
    <w:uiPriority w:val="0"/>
    <w:pPr>
      <w:widowControl w:val="0"/>
      <w:spacing w:after="120" w:afterLines="0"/>
      <w:jc w:val="both"/>
    </w:pPr>
    <w:rPr>
      <w:rFonts w:ascii="Times New Roman" w:hAnsi="Times New Roman" w:eastAsia="宋体" w:cs="Times New Roman"/>
      <w:kern w:val="2"/>
      <w:sz w:val="21"/>
      <w:lang w:val="en-US" w:eastAsia="zh-CN" w:bidi="ar-SA"/>
    </w:rPr>
  </w:style>
  <w:style w:type="paragraph" w:styleId="4">
    <w:name w:val="Normal (Web)"/>
    <w:qFormat/>
    <w:uiPriority w:val="0"/>
    <w:pPr>
      <w:widowControl w:val="0"/>
      <w:jc w:val="both"/>
    </w:pPr>
    <w:rPr>
      <w:rFonts w:ascii="Times New Roman" w:hAnsi="Times New Roman" w:eastAsia="宋体" w:cs="Times New Roman"/>
      <w:kern w:val="2"/>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2057</Words>
  <Characters>2131</Characters>
  <Lines>0</Lines>
  <Paragraphs>0</Paragraphs>
  <TotalTime>14</TotalTime>
  <ScaleCrop>false</ScaleCrop>
  <LinksUpToDate>false</LinksUpToDate>
  <CharactersWithSpaces>2137</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2023-04-10T02:12:00Z</dcterms:created>
  <dc:creator>001</dc:creator>
  <cp:lastModifiedBy>yxedu123</cp:lastModifiedBy>
  <cp:lastPrinted>2023-04-10T02:18:00Z</cp:lastPrinted>
  <dcterms:modified xsi:type="dcterms:W3CDTF">2025-04-09T08:10:19Z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178CA22C50EE45FABB75A44F3CAE2503</vt:lpwstr>
  </property>
  <property fmtid="{D5CDD505-2E9C-101B-9397-08002B2CF9AE}" pid="4" name="KSOTemplateDocerSaveRecord">
    <vt:lpwstr>eyJoZGlkIjoiMjZlMTg1YjJjNzExYjYyZDQ4OTNjOWFiNWY3NDQ0NGUiLCJ1c2VySWQiOiI1NzA0NjMwNDUifQ==</vt:lpwstr>
  </property>
</Properties>
</file>