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pPr>
    </w:p>
    <w:p>
      <w:pPr>
        <w:pStyle w:val="21"/>
        <w:keepNext w:val="0"/>
        <w:keepLines w:val="0"/>
        <w:pageBreakBefore w:val="0"/>
        <w:widowControl w:val="0"/>
        <w:kinsoku/>
        <w:wordWrap/>
        <w:overflowPunct w:val="0"/>
        <w:topLinePunct w:val="0"/>
        <w:autoSpaceDE/>
        <w:autoSpaceDN/>
        <w:bidi w:val="0"/>
        <w:adjustRightInd w:val="0"/>
        <w:snapToGrid w:val="0"/>
        <w:spacing w:line="560" w:lineRule="exact"/>
        <w:ind w:firstLine="0"/>
        <w:jc w:val="both"/>
        <w:rPr>
          <w:rFonts w:hint="default" w:ascii="Times New Roman" w:hAnsi="Times New Roman" w:eastAsia="方正小标宋简体" w:cs="Times New Roman"/>
          <w:b/>
          <w:bCs/>
          <w:snapToGrid w:val="0"/>
          <w:color w:val="auto"/>
          <w:kern w:val="0"/>
          <w:sz w:val="44"/>
          <w:szCs w:val="44"/>
          <w:highlight w:val="none"/>
          <w:shd w:val="clear" w:color="auto" w:fill="auto"/>
        </w:rPr>
      </w:pPr>
      <w:bookmarkStart w:id="0" w:name="_GoBack"/>
      <w:r>
        <w:rPr>
          <w:rFonts w:hint="eastAsia" w:ascii="方正小标宋简体" w:hAnsi="方正小标宋简体" w:eastAsia="方正小标宋简体" w:cs="方正小标宋简体"/>
          <w:b w:val="0"/>
          <w:bCs w:val="0"/>
          <w:snapToGrid w:val="0"/>
          <w:color w:val="auto"/>
          <w:kern w:val="0"/>
          <w:sz w:val="44"/>
          <w:szCs w:val="44"/>
          <w:highlight w:val="none"/>
          <w:shd w:val="clear" w:color="auto" w:fill="auto"/>
        </w:rPr>
        <w:t>广州市越秀区202</w:t>
      </w:r>
      <w:r>
        <w:rPr>
          <w:rFonts w:hint="eastAsia" w:ascii="方正小标宋简体" w:hAnsi="方正小标宋简体" w:eastAsia="方正小标宋简体" w:cs="方正小标宋简体"/>
          <w:b w:val="0"/>
          <w:bCs w:val="0"/>
          <w:snapToGrid w:val="0"/>
          <w:color w:val="auto"/>
          <w:kern w:val="0"/>
          <w:sz w:val="44"/>
          <w:szCs w:val="44"/>
          <w:highlight w:val="none"/>
          <w:shd w:val="clear" w:color="auto" w:fill="auto"/>
          <w:lang w:val="en-US" w:eastAsia="zh-CN"/>
        </w:rPr>
        <w:t>3</w:t>
      </w:r>
      <w:r>
        <w:rPr>
          <w:rFonts w:hint="eastAsia" w:ascii="方正小标宋简体" w:hAnsi="方正小标宋简体" w:eastAsia="方正小标宋简体" w:cs="方正小标宋简体"/>
          <w:b w:val="0"/>
          <w:bCs w:val="0"/>
          <w:snapToGrid w:val="0"/>
          <w:color w:val="auto"/>
          <w:kern w:val="0"/>
          <w:sz w:val="44"/>
          <w:szCs w:val="44"/>
          <w:highlight w:val="none"/>
          <w:shd w:val="clear" w:color="auto" w:fill="auto"/>
        </w:rPr>
        <w:t>年</w:t>
      </w:r>
      <w:r>
        <w:rPr>
          <w:rFonts w:hint="eastAsia" w:ascii="方正小标宋简体" w:hAnsi="方正小标宋简体" w:eastAsia="方正小标宋简体" w:cs="方正小标宋简体"/>
          <w:b w:val="0"/>
          <w:bCs w:val="0"/>
          <w:snapToGrid w:val="0"/>
          <w:color w:val="auto"/>
          <w:kern w:val="0"/>
          <w:sz w:val="44"/>
          <w:szCs w:val="44"/>
          <w:highlight w:val="none"/>
          <w:shd w:val="clear" w:color="auto" w:fill="auto"/>
          <w:lang w:val="en-US" w:eastAsia="zh-CN"/>
        </w:rPr>
        <w:t>财政支出绩效</w:t>
      </w:r>
      <w:r>
        <w:rPr>
          <w:rFonts w:hint="eastAsia" w:ascii="方正小标宋简体" w:hAnsi="方正小标宋简体" w:eastAsia="方正小标宋简体" w:cs="方正小标宋简体"/>
          <w:b w:val="0"/>
          <w:bCs w:val="0"/>
          <w:snapToGrid w:val="0"/>
          <w:color w:val="auto"/>
          <w:kern w:val="0"/>
          <w:sz w:val="44"/>
          <w:szCs w:val="44"/>
          <w:highlight w:val="none"/>
          <w:shd w:val="clear" w:color="auto" w:fill="auto"/>
        </w:rPr>
        <w:t>情况报告</w:t>
      </w:r>
      <w:bookmarkEnd w:id="0"/>
    </w:p>
    <w:p>
      <w:pPr>
        <w:pStyle w:val="23"/>
        <w:keepNext w:val="0"/>
        <w:keepLines w:val="0"/>
        <w:pageBreakBefore w:val="0"/>
        <w:widowControl w:val="0"/>
        <w:kinsoku/>
        <w:wordWrap/>
        <w:overflowPunct w:val="0"/>
        <w:topLinePunct w:val="0"/>
        <w:autoSpaceDE/>
        <w:autoSpaceDN/>
        <w:bidi w:val="0"/>
        <w:adjustRightInd w:val="0"/>
        <w:snapToGrid w:val="0"/>
        <w:spacing w:line="560" w:lineRule="exact"/>
        <w:jc w:val="center"/>
        <w:rPr>
          <w:rFonts w:hint="default" w:ascii="Times New Roman" w:hAnsi="Times New Roman" w:eastAsia="楷体_GB2312" w:cs="Times New Roman"/>
          <w:color w:val="auto"/>
          <w:sz w:val="32"/>
          <w:szCs w:val="32"/>
          <w:highlight w:val="none"/>
          <w:shd w:val="clear" w:color="auto" w:fill="auto"/>
          <w:lang w:val="en-US" w:eastAsia="zh-CN"/>
        </w:rPr>
      </w:pPr>
    </w:p>
    <w:p>
      <w:pPr>
        <w:keepNext w:val="0"/>
        <w:keepLines w:val="0"/>
        <w:pageBreakBefore w:val="0"/>
        <w:widowControl w:val="0"/>
        <w:kinsoku/>
        <w:wordWrap/>
        <w:overflowPunct w:val="0"/>
        <w:topLinePunct w:val="0"/>
        <w:autoSpaceDE/>
        <w:autoSpaceDN/>
        <w:bidi w:val="0"/>
        <w:spacing w:line="560" w:lineRule="exact"/>
        <w:ind w:firstLine="64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2023年以来，我区</w:t>
      </w:r>
      <w:r>
        <w:rPr>
          <w:rFonts w:hint="eastAsia" w:ascii="仿宋_GB2312" w:hAnsi="仿宋_GB2312" w:eastAsia="仿宋_GB2312" w:cs="仿宋_GB2312"/>
          <w:color w:val="auto"/>
          <w:sz w:val="32"/>
          <w:szCs w:val="32"/>
          <w:highlight w:val="none"/>
          <w:shd w:val="clear" w:color="auto" w:fill="auto"/>
        </w:rPr>
        <w:t>坚持以习近平新时代中国特色社会主义思想为指导，</w:t>
      </w:r>
      <w:r>
        <w:rPr>
          <w:rFonts w:hint="eastAsia" w:ascii="仿宋_GB2312" w:hAnsi="仿宋_GB2312" w:eastAsia="仿宋_GB2312" w:cs="仿宋_GB2312"/>
          <w:color w:val="auto"/>
          <w:sz w:val="32"/>
          <w:szCs w:val="32"/>
          <w:highlight w:val="none"/>
          <w:shd w:val="clear" w:color="auto" w:fill="auto"/>
          <w:lang w:eastAsia="zh-CN"/>
        </w:rPr>
        <w:t>积极运用零基预算理念，合理确定支出预算规模；不折不扣</w:t>
      </w:r>
      <w:r>
        <w:rPr>
          <w:rFonts w:hint="eastAsia" w:ascii="仿宋_GB2312" w:hAnsi="仿宋_GB2312" w:eastAsia="仿宋_GB2312" w:cs="仿宋_GB2312"/>
          <w:color w:val="auto"/>
          <w:sz w:val="32"/>
          <w:szCs w:val="32"/>
          <w:highlight w:val="none"/>
          <w:shd w:val="clear" w:color="auto" w:fill="auto"/>
        </w:rPr>
        <w:t>落实“过紧日子”</w:t>
      </w:r>
      <w:r>
        <w:rPr>
          <w:rFonts w:hint="eastAsia" w:ascii="仿宋_GB2312" w:hAnsi="仿宋_GB2312" w:eastAsia="仿宋_GB2312" w:cs="仿宋_GB2312"/>
          <w:color w:val="auto"/>
          <w:sz w:val="32"/>
          <w:szCs w:val="32"/>
          <w:highlight w:val="none"/>
          <w:shd w:val="clear" w:color="auto" w:fill="auto"/>
          <w:lang w:eastAsia="zh-CN"/>
        </w:rPr>
        <w:t>要求</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建立节约型财政保障机制；</w:t>
      </w:r>
      <w:r>
        <w:rPr>
          <w:rFonts w:hint="eastAsia" w:ascii="仿宋_GB2312" w:hAnsi="仿宋_GB2312" w:eastAsia="仿宋_GB2312" w:cs="仿宋_GB2312"/>
          <w:b w:val="0"/>
          <w:bCs w:val="0"/>
          <w:color w:val="auto"/>
          <w:sz w:val="32"/>
          <w:szCs w:val="32"/>
          <w:highlight w:val="none"/>
          <w:shd w:val="clear" w:color="auto" w:fill="auto"/>
          <w:lang w:val="en-US" w:eastAsia="zh-CN"/>
        </w:rPr>
        <w:t>加强财政支出绩效管理，将绩效要求和导向作用融入预算管理全过程，进一步增强财政可持续性，提高资金使用效益，现将相关工作开展情况报告如下：</w:t>
      </w: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eastAsia" w:ascii="Times New Roman" w:hAnsi="Times New Roman" w:eastAsia="黑体" w:cs="Times New Roman"/>
          <w:snapToGrid/>
          <w:color w:val="auto"/>
          <w:kern w:val="2"/>
          <w:sz w:val="32"/>
          <w:szCs w:val="32"/>
          <w:highlight w:val="none"/>
          <w:shd w:val="clear" w:color="auto" w:fill="auto"/>
          <w:lang w:val="en-US" w:eastAsia="zh-CN" w:bidi="ar-SA"/>
        </w:rPr>
        <w:t>一</w:t>
      </w:r>
      <w:r>
        <w:rPr>
          <w:rFonts w:hint="default" w:ascii="Times New Roman" w:hAnsi="Times New Roman" w:eastAsia="黑体" w:cs="Times New Roman"/>
          <w:snapToGrid/>
          <w:color w:val="auto"/>
          <w:kern w:val="2"/>
          <w:sz w:val="32"/>
          <w:szCs w:val="32"/>
          <w:highlight w:val="none"/>
          <w:shd w:val="clear" w:color="auto" w:fill="auto"/>
          <w:lang w:val="en-US" w:eastAsia="zh-CN" w:bidi="ar-SA"/>
        </w:rPr>
        <w:t>、2023年开展绩效评价情况</w:t>
      </w: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2023年我区</w:t>
      </w:r>
      <w:r>
        <w:rPr>
          <w:rFonts w:hint="default" w:ascii="Times New Roman" w:hAnsi="Times New Roman" w:eastAsia="仿宋_GB2312" w:cs="Times New Roman"/>
          <w:b w:val="0"/>
          <w:bCs w:val="0"/>
          <w:color w:val="auto"/>
          <w:sz w:val="32"/>
          <w:szCs w:val="32"/>
          <w:highlight w:val="none"/>
          <w:shd w:val="clear" w:color="auto" w:fill="auto"/>
          <w:lang w:val="en-US" w:eastAsia="zh-CN"/>
        </w:rPr>
        <w:t>委托第三方机构和区财政预算评审中心，从预算资金管理、绩效管理、资产管理及履职用财等方面着手，开展了2023年度部门整体绩效评价、项目重点评价和绩效自评复核，共涉及资金98,811.76万元。</w:t>
      </w: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一是</w:t>
      </w:r>
      <w:r>
        <w:rPr>
          <w:rFonts w:hint="default" w:ascii="Times New Roman" w:hAnsi="Times New Roman" w:eastAsia="仿宋_GB2312" w:cs="Times New Roman"/>
          <w:b w:val="0"/>
          <w:bCs w:val="0"/>
          <w:color w:val="auto"/>
          <w:sz w:val="32"/>
          <w:szCs w:val="32"/>
          <w:highlight w:val="none"/>
          <w:shd w:val="clear" w:color="auto" w:fill="auto"/>
          <w:lang w:val="en-US" w:eastAsia="zh-CN"/>
        </w:rPr>
        <w:t>部门整体绩效评价情况。对区市场监督管理局和区民政局2个部门</w:t>
      </w:r>
      <w:r>
        <w:rPr>
          <w:rFonts w:hint="default" w:ascii="Times New Roman" w:hAnsi="Times New Roman" w:eastAsia="仿宋_GB2312" w:cs="Times New Roman"/>
          <w:color w:val="auto"/>
          <w:sz w:val="32"/>
          <w:szCs w:val="32"/>
          <w:highlight w:val="none"/>
          <w:shd w:val="clear" w:color="auto" w:fill="auto"/>
        </w:rPr>
        <w:t>202</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rPr>
        <w:t>年度的整体支出开展了绩效评价</w:t>
      </w:r>
      <w:r>
        <w:rPr>
          <w:rFonts w:hint="default" w:ascii="Times New Roman" w:hAnsi="Times New Roman" w:eastAsia="仿宋_GB2312" w:cs="Times New Roman"/>
          <w:b w:val="0"/>
          <w:bCs w:val="0"/>
          <w:color w:val="auto"/>
          <w:sz w:val="32"/>
          <w:szCs w:val="32"/>
          <w:highlight w:val="none"/>
          <w:shd w:val="clear" w:color="auto" w:fill="auto"/>
          <w:lang w:val="en-US" w:eastAsia="zh-CN"/>
        </w:rPr>
        <w:t>，共涉及资金66,251.92 万元，绩效评价等级为“优”的1个，“良”的1个。</w:t>
      </w:r>
      <w:r>
        <w:rPr>
          <w:rFonts w:hint="default" w:ascii="Times New Roman" w:hAnsi="Times New Roman" w:eastAsia="仿宋_GB2312" w:cs="Times New Roman"/>
          <w:b/>
          <w:bCs/>
          <w:color w:val="auto"/>
          <w:sz w:val="32"/>
          <w:szCs w:val="32"/>
          <w:highlight w:val="none"/>
          <w:shd w:val="clear" w:color="auto" w:fill="auto"/>
          <w:lang w:val="en-US" w:eastAsia="zh-CN"/>
        </w:rPr>
        <w:t>二是</w:t>
      </w:r>
      <w:r>
        <w:rPr>
          <w:rFonts w:hint="default" w:ascii="Times New Roman" w:hAnsi="Times New Roman" w:eastAsia="仿宋_GB2312" w:cs="Times New Roman"/>
          <w:b w:val="0"/>
          <w:bCs w:val="0"/>
          <w:color w:val="auto"/>
          <w:sz w:val="32"/>
          <w:szCs w:val="32"/>
          <w:highlight w:val="none"/>
          <w:shd w:val="clear" w:color="auto" w:fill="auto"/>
          <w:lang w:val="en-US" w:eastAsia="zh-CN"/>
        </w:rPr>
        <w:t>项目重点绩效评价情况。对教育系统校园基础教育设施整体提升资金、广州市越秀区旧城改造资金、颐康中心和站点运营奖补资金、食品安全监督抽检资金、民办养老机构护理补贴资金5个重点项目进行了绩效评价，涉及资金22,899.17 万元，绩效评价等级均为“良”。</w:t>
      </w:r>
      <w:r>
        <w:rPr>
          <w:rFonts w:hint="default" w:ascii="Times New Roman" w:hAnsi="Times New Roman" w:eastAsia="仿宋_GB2312" w:cs="Times New Roman"/>
          <w:b/>
          <w:bCs/>
          <w:color w:val="auto"/>
          <w:sz w:val="32"/>
          <w:szCs w:val="32"/>
          <w:highlight w:val="none"/>
          <w:shd w:val="clear" w:color="auto" w:fill="auto"/>
          <w:lang w:val="en-US" w:eastAsia="zh-CN"/>
        </w:rPr>
        <w:t>三是</w:t>
      </w:r>
      <w:r>
        <w:rPr>
          <w:rFonts w:hint="default" w:ascii="Times New Roman" w:hAnsi="Times New Roman" w:eastAsia="仿宋_GB2312" w:cs="Times New Roman"/>
          <w:b w:val="0"/>
          <w:bCs w:val="0"/>
          <w:color w:val="auto"/>
          <w:sz w:val="32"/>
          <w:szCs w:val="32"/>
          <w:highlight w:val="none"/>
          <w:shd w:val="clear" w:color="auto" w:fill="auto"/>
          <w:lang w:val="en-US" w:eastAsia="zh-CN"/>
        </w:rPr>
        <w:t>绩效自评复核情况。按照“全面自评、部分复核”原则，对就业补贴资金、残疾人康复资助资金、课后托管舒适午休补助资金、老旧小区微改造资金、春运经费5个项目进行了自评复核，涉及资金9,660.67万元。绩效等级均为“良”。（详见附件）</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黑体" w:cs="Times New Roman"/>
          <w:snapToGrid/>
          <w:color w:val="auto"/>
          <w:kern w:val="2"/>
          <w:sz w:val="32"/>
          <w:szCs w:val="32"/>
          <w:highlight w:val="none"/>
          <w:shd w:val="clear" w:color="auto" w:fill="auto"/>
          <w:lang w:val="en-US" w:eastAsia="zh-CN" w:bidi="ar-SA"/>
        </w:rPr>
      </w:pPr>
      <w:r>
        <w:rPr>
          <w:rFonts w:hint="eastAsia" w:ascii="Times New Roman" w:hAnsi="Times New Roman" w:eastAsia="黑体" w:cs="Times New Roman"/>
          <w:snapToGrid/>
          <w:color w:val="auto"/>
          <w:kern w:val="2"/>
          <w:sz w:val="32"/>
          <w:szCs w:val="32"/>
          <w:highlight w:val="none"/>
          <w:shd w:val="clear" w:color="auto" w:fill="auto"/>
          <w:lang w:val="en-US" w:eastAsia="zh-CN" w:bidi="ar-SA"/>
        </w:rPr>
        <w:t>二</w:t>
      </w:r>
      <w:r>
        <w:rPr>
          <w:rFonts w:hint="default" w:ascii="Times New Roman" w:hAnsi="Times New Roman" w:eastAsia="黑体" w:cs="Times New Roman"/>
          <w:snapToGrid/>
          <w:color w:val="auto"/>
          <w:kern w:val="2"/>
          <w:sz w:val="32"/>
          <w:szCs w:val="32"/>
          <w:highlight w:val="none"/>
          <w:shd w:val="clear" w:color="auto" w:fill="auto"/>
          <w:lang w:val="en-US" w:eastAsia="zh-CN" w:bidi="ar-SA"/>
        </w:rPr>
        <w:t>、值得关注的问题</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shd w:val="clear" w:color="auto" w:fill="auto"/>
          <w:lang w:val="en-US" w:eastAsia="zh-CN"/>
        </w:rPr>
      </w:pPr>
      <w:r>
        <w:rPr>
          <w:rFonts w:hint="default" w:ascii="Times New Roman" w:hAnsi="Times New Roman" w:eastAsia="楷体_GB2312" w:cs="Times New Roman"/>
          <w:b w:val="0"/>
          <w:bCs w:val="0"/>
          <w:color w:val="auto"/>
          <w:sz w:val="32"/>
          <w:szCs w:val="32"/>
          <w:highlight w:val="none"/>
          <w:shd w:val="clear" w:color="auto" w:fill="auto"/>
          <w:lang w:val="en-US" w:eastAsia="zh-CN"/>
        </w:rPr>
        <w:t>（一）第三方机构评价报告的质量还有待提高。</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一是</w:t>
      </w:r>
      <w:r>
        <w:rPr>
          <w:rFonts w:hint="default" w:ascii="Times New Roman" w:hAnsi="Times New Roman" w:eastAsia="仿宋_GB2312" w:cs="Times New Roman"/>
          <w:b w:val="0"/>
          <w:bCs w:val="0"/>
          <w:color w:val="auto"/>
          <w:sz w:val="32"/>
          <w:szCs w:val="32"/>
          <w:highlight w:val="none"/>
          <w:shd w:val="clear" w:color="auto" w:fill="auto"/>
          <w:lang w:val="en-US" w:eastAsia="zh-CN"/>
        </w:rPr>
        <w:t>现有的绩效评价指标体系还不够完善，评价指标设定的科学性有待加强</w:t>
      </w:r>
      <w:r>
        <w:rPr>
          <w:rFonts w:hint="eastAsia" w:ascii="Times New Roman" w:hAnsi="Times New Roman" w:eastAsia="仿宋_GB2312" w:cs="Times New Roman"/>
          <w:b w:val="0"/>
          <w:bCs w:val="0"/>
          <w:color w:val="auto"/>
          <w:sz w:val="32"/>
          <w:szCs w:val="32"/>
          <w:highlight w:val="none"/>
          <w:shd w:val="clear" w:color="auto" w:fill="auto"/>
          <w:lang w:val="en-US" w:eastAsia="zh-CN"/>
        </w:rPr>
        <w:t>。</w:t>
      </w:r>
      <w:r>
        <w:rPr>
          <w:rFonts w:hint="default" w:ascii="Times New Roman" w:hAnsi="Times New Roman" w:eastAsia="仿宋_GB2312" w:cs="Times New Roman"/>
          <w:b/>
          <w:bCs/>
          <w:color w:val="auto"/>
          <w:sz w:val="32"/>
          <w:szCs w:val="32"/>
          <w:highlight w:val="none"/>
          <w:shd w:val="clear" w:color="auto" w:fill="auto"/>
          <w:lang w:val="en-US" w:eastAsia="zh-CN"/>
        </w:rPr>
        <w:t>二是</w:t>
      </w:r>
      <w:r>
        <w:rPr>
          <w:rFonts w:hint="default" w:ascii="Times New Roman" w:hAnsi="Times New Roman" w:eastAsia="仿宋_GB2312" w:cs="Times New Roman"/>
          <w:b w:val="0"/>
          <w:bCs w:val="0"/>
          <w:color w:val="auto"/>
          <w:sz w:val="32"/>
          <w:szCs w:val="32"/>
          <w:highlight w:val="none"/>
          <w:shd w:val="clear" w:color="auto" w:fill="auto"/>
          <w:lang w:val="en-US" w:eastAsia="zh-CN"/>
        </w:rPr>
        <w:t>绩效评价的方法相对单一，主要应用横向比较法、预定目标与实施效果比较法等，其他一些方法如因素分析法、专家评议与问卷调查法的方法的熟练掌握和应用还有一个过程。</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shd w:val="clear" w:color="auto" w:fill="auto"/>
          <w:lang w:val="en-US" w:eastAsia="zh-CN"/>
        </w:rPr>
      </w:pPr>
      <w:r>
        <w:rPr>
          <w:rFonts w:hint="default" w:ascii="Times New Roman" w:hAnsi="Times New Roman" w:eastAsia="楷体_GB2312" w:cs="Times New Roman"/>
          <w:b w:val="0"/>
          <w:bCs w:val="0"/>
          <w:color w:val="auto"/>
          <w:sz w:val="32"/>
          <w:szCs w:val="32"/>
          <w:highlight w:val="none"/>
          <w:shd w:val="clear" w:color="auto" w:fill="auto"/>
          <w:lang w:val="en-US" w:eastAsia="zh-CN"/>
        </w:rPr>
        <w:t>（二）预算单位对财政支出绩效管理的责任意识不强。</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一是</w:t>
      </w:r>
      <w:r>
        <w:rPr>
          <w:rFonts w:hint="default" w:ascii="Times New Roman" w:hAnsi="Times New Roman" w:eastAsia="仿宋_GB2312" w:cs="Times New Roman"/>
          <w:b w:val="0"/>
          <w:bCs w:val="0"/>
          <w:color w:val="auto"/>
          <w:sz w:val="32"/>
          <w:szCs w:val="32"/>
          <w:highlight w:val="none"/>
          <w:shd w:val="clear" w:color="auto" w:fill="auto"/>
          <w:lang w:val="en-US" w:eastAsia="zh-CN"/>
        </w:rPr>
        <w:t>部分单位</w:t>
      </w:r>
      <w:r>
        <w:rPr>
          <w:rFonts w:hint="eastAsia" w:ascii="Times New Roman" w:hAnsi="Times New Roman" w:eastAsia="仿宋_GB2312" w:cs="Times New Roman"/>
          <w:b w:val="0"/>
          <w:bCs w:val="0"/>
          <w:color w:val="auto"/>
          <w:sz w:val="32"/>
          <w:szCs w:val="32"/>
          <w:highlight w:val="none"/>
          <w:shd w:val="clear" w:color="auto" w:fill="auto"/>
          <w:lang w:val="en-US" w:eastAsia="zh-CN"/>
        </w:rPr>
        <w:t>的</w:t>
      </w:r>
      <w:r>
        <w:rPr>
          <w:rFonts w:hint="default" w:ascii="Times New Roman" w:hAnsi="Times New Roman" w:eastAsia="仿宋_GB2312" w:cs="Times New Roman"/>
          <w:b w:val="0"/>
          <w:bCs w:val="0"/>
          <w:color w:val="auto"/>
          <w:sz w:val="32"/>
          <w:szCs w:val="32"/>
          <w:highlight w:val="none"/>
          <w:shd w:val="clear" w:color="auto" w:fill="auto"/>
          <w:lang w:val="en-US" w:eastAsia="zh-CN"/>
        </w:rPr>
        <w:t>绩效管理的理念尚未牢固树立，导致绩效评价工作流于形式。</w:t>
      </w:r>
      <w:r>
        <w:rPr>
          <w:rFonts w:hint="default" w:ascii="Times New Roman" w:hAnsi="Times New Roman" w:eastAsia="Arial" w:cs="Times New Roman"/>
          <w:i w:val="0"/>
          <w:iCs w:val="0"/>
          <w:caps w:val="0"/>
          <w:color w:val="333333"/>
          <w:spacing w:val="0"/>
          <w:sz w:val="21"/>
          <w:szCs w:val="21"/>
          <w:highlight w:val="none"/>
          <w:shd w:val="clear" w:color="auto" w:fill="auto"/>
        </w:rPr>
        <w:t>‌</w:t>
      </w:r>
      <w:r>
        <w:rPr>
          <w:rFonts w:hint="default" w:ascii="Times New Roman" w:hAnsi="Times New Roman" w:eastAsia="仿宋_GB2312" w:cs="Times New Roman"/>
          <w:b/>
          <w:bCs/>
          <w:color w:val="auto"/>
          <w:sz w:val="32"/>
          <w:szCs w:val="32"/>
          <w:highlight w:val="none"/>
          <w:shd w:val="clear" w:color="auto" w:fill="auto"/>
          <w:lang w:val="en-US" w:eastAsia="zh-CN"/>
        </w:rPr>
        <w:t>二是</w:t>
      </w:r>
      <w:r>
        <w:rPr>
          <w:rFonts w:hint="default" w:ascii="Times New Roman" w:hAnsi="Times New Roman" w:eastAsia="仿宋_GB2312" w:cs="Times New Roman"/>
          <w:b w:val="0"/>
          <w:bCs w:val="0"/>
          <w:color w:val="auto"/>
          <w:sz w:val="32"/>
          <w:szCs w:val="32"/>
          <w:highlight w:val="none"/>
          <w:shd w:val="clear" w:color="auto" w:fill="auto"/>
          <w:lang w:val="en-US" w:eastAsia="zh-CN"/>
        </w:rPr>
        <w:t>部分单位绩效评价指标设定不合理，部分绩效目标指标设置过低，部分指标设计形式化。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auto"/>
          <w:kern w:val="2"/>
          <w:sz w:val="32"/>
          <w:szCs w:val="32"/>
          <w:highlight w:val="none"/>
          <w:shd w:val="clear" w:color="auto" w:fill="auto"/>
          <w:lang w:val="en-US" w:eastAsia="zh-CN" w:bidi="ar-SA"/>
        </w:rPr>
      </w:pPr>
      <w:r>
        <w:rPr>
          <w:rFonts w:hint="eastAsia" w:ascii="Times New Roman" w:hAnsi="Times New Roman" w:eastAsia="黑体" w:cs="Times New Roman"/>
          <w:snapToGrid/>
          <w:color w:val="auto"/>
          <w:kern w:val="2"/>
          <w:sz w:val="32"/>
          <w:szCs w:val="32"/>
          <w:highlight w:val="none"/>
          <w:shd w:val="clear" w:color="auto" w:fill="auto"/>
          <w:lang w:val="en-US" w:eastAsia="zh-CN" w:bidi="ar-SA"/>
        </w:rPr>
        <w:t>三</w:t>
      </w:r>
      <w:r>
        <w:rPr>
          <w:rFonts w:hint="default" w:ascii="Times New Roman" w:hAnsi="Times New Roman" w:eastAsia="黑体" w:cs="Times New Roman"/>
          <w:snapToGrid/>
          <w:color w:val="auto"/>
          <w:kern w:val="2"/>
          <w:sz w:val="32"/>
          <w:szCs w:val="32"/>
          <w:highlight w:val="none"/>
          <w:shd w:val="clear" w:color="auto" w:fill="auto"/>
          <w:lang w:val="en-US" w:eastAsia="zh-CN" w:bidi="ar-SA"/>
        </w:rPr>
        <w:t>、下一步工作计划</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楷体_GB2312" w:cs="Times New Roman"/>
          <w:color w:val="auto"/>
          <w:sz w:val="32"/>
          <w:szCs w:val="32"/>
          <w:highlight w:val="none"/>
          <w:shd w:val="clear" w:color="auto" w:fill="auto"/>
          <w:lang w:val="en-US" w:eastAsia="zh-CN"/>
        </w:rPr>
        <w:t>（一）深化零基预算改革和绩效管理有机结合。</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b/>
          <w:bCs/>
          <w:i w:val="0"/>
          <w:iCs w:val="0"/>
          <w:caps w:val="0"/>
          <w:color w:val="auto"/>
          <w:spacing w:val="0"/>
          <w:sz w:val="32"/>
          <w:szCs w:val="32"/>
          <w:highlight w:val="none"/>
          <w:shd w:val="clear" w:color="auto" w:fill="auto"/>
          <w:lang w:eastAsia="zh-CN"/>
        </w:rPr>
        <w:t>一是</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rPr>
        <w:t>“量入为出、以收定支”原则</w:t>
      </w:r>
      <w:r>
        <w:rPr>
          <w:rFonts w:hint="default" w:ascii="Times New Roman" w:hAnsi="Times New Roman" w:eastAsia="仿宋_GB2312" w:cs="Times New Roman"/>
          <w:color w:val="auto"/>
          <w:kern w:val="2"/>
          <w:sz w:val="32"/>
          <w:szCs w:val="32"/>
          <w:highlight w:val="none"/>
          <w:shd w:val="clear" w:color="auto" w:fill="auto"/>
          <w:lang w:val="en-US" w:eastAsia="zh-CN" w:bidi="ar-SA"/>
        </w:rPr>
        <w:t>，深化零基预算改革。</w:t>
      </w:r>
      <w:r>
        <w:rPr>
          <w:rFonts w:hint="default" w:ascii="Times New Roman" w:hAnsi="Times New Roman" w:eastAsia="仿宋_GB2312" w:cs="Times New Roman"/>
          <w:b/>
          <w:bCs/>
          <w:color w:val="auto"/>
          <w:kern w:val="2"/>
          <w:sz w:val="32"/>
          <w:szCs w:val="32"/>
          <w:highlight w:val="none"/>
          <w:shd w:val="clear" w:color="auto" w:fill="auto"/>
          <w:lang w:val="en-US" w:eastAsia="zh-CN" w:bidi="ar-SA"/>
        </w:rPr>
        <w:t>二是</w:t>
      </w:r>
      <w:r>
        <w:rPr>
          <w:rFonts w:hint="default" w:ascii="Times New Roman" w:hAnsi="Times New Roman" w:eastAsia="仿宋_GB2312" w:cs="Times New Roman"/>
          <w:color w:val="auto"/>
          <w:kern w:val="2"/>
          <w:sz w:val="32"/>
          <w:szCs w:val="32"/>
          <w:highlight w:val="none"/>
          <w:shd w:val="clear" w:color="auto" w:fill="auto"/>
          <w:lang w:val="en-US" w:eastAsia="zh-CN" w:bidi="ar-SA"/>
        </w:rPr>
        <w:t>继续探索预算管理新路径，持续推进财会监督和财政支出绩效改革创新，提升财政资金投入精准度及使用效益，进一步提升管财理财水平。</w:t>
      </w:r>
    </w:p>
    <w:p>
      <w:pPr>
        <w:pStyle w:val="3"/>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楷体_GB2312" w:cs="Times New Roman"/>
          <w:color w:val="auto"/>
          <w:sz w:val="32"/>
          <w:szCs w:val="32"/>
          <w:highlight w:val="none"/>
          <w:shd w:val="clear" w:color="auto" w:fill="auto"/>
          <w:lang w:val="en-US" w:eastAsia="zh-CN"/>
        </w:rPr>
        <w:t>强化项目支出的效益导向。</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一是</w:t>
      </w:r>
      <w:r>
        <w:rPr>
          <w:rFonts w:hint="default" w:ascii="Times New Roman" w:hAnsi="Times New Roman" w:eastAsia="仿宋_GB2312" w:cs="Times New Roman"/>
          <w:color w:val="auto"/>
          <w:sz w:val="32"/>
          <w:szCs w:val="32"/>
          <w:highlight w:val="none"/>
          <w:shd w:val="clear" w:color="auto" w:fill="auto"/>
          <w:lang w:val="en-US" w:eastAsia="zh-CN"/>
        </w:rPr>
        <w:t>在年初申报绩效目标时可从社会效益、可持续影响、服务对象满意度等方面充分设置能充分反映财政资金使用成效的效益类指标。</w:t>
      </w:r>
      <w:r>
        <w:rPr>
          <w:rFonts w:hint="default" w:ascii="Times New Roman" w:hAnsi="Times New Roman" w:eastAsia="仿宋_GB2312" w:cs="Times New Roman"/>
          <w:b/>
          <w:bCs/>
          <w:color w:val="auto"/>
          <w:sz w:val="32"/>
          <w:szCs w:val="32"/>
          <w:highlight w:val="none"/>
          <w:shd w:val="clear" w:color="auto" w:fill="auto"/>
          <w:lang w:val="en-US" w:eastAsia="zh-CN"/>
        </w:rPr>
        <w:t>二是</w:t>
      </w:r>
      <w:r>
        <w:rPr>
          <w:rFonts w:hint="default" w:ascii="Times New Roman" w:hAnsi="Times New Roman" w:eastAsia="仿宋_GB2312" w:cs="Times New Roman"/>
          <w:color w:val="auto"/>
          <w:sz w:val="32"/>
          <w:szCs w:val="32"/>
          <w:highlight w:val="none"/>
          <w:shd w:val="clear" w:color="auto" w:fill="auto"/>
          <w:lang w:val="en-US" w:eastAsia="zh-CN"/>
        </w:rPr>
        <w:t>重视项目绩效评价结果的“效益”维度，注重宏观政策目标的实现情况，把效益指标的实现情况作为指导今后工作的重要参考依据。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楷体_GB2312" w:cs="Times New Roman"/>
          <w:color w:val="auto"/>
          <w:sz w:val="32"/>
          <w:szCs w:val="32"/>
          <w:highlight w:val="none"/>
          <w:shd w:val="clear" w:color="auto" w:fill="auto"/>
          <w:lang w:val="en-US" w:eastAsia="zh-CN"/>
        </w:rPr>
        <w:t>（三）提升绩效评价报告的质量。</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b/>
          <w:bCs/>
          <w:color w:val="auto"/>
          <w:sz w:val="32"/>
          <w:szCs w:val="32"/>
          <w:highlight w:val="none"/>
          <w:shd w:val="clear" w:color="auto" w:fill="auto"/>
        </w:rPr>
        <w:t>一是</w:t>
      </w:r>
      <w:r>
        <w:rPr>
          <w:rFonts w:hint="default" w:ascii="Times New Roman" w:hAnsi="Times New Roman" w:eastAsia="仿宋_GB2312" w:cs="Times New Roman"/>
          <w:color w:val="auto"/>
          <w:sz w:val="32"/>
          <w:szCs w:val="32"/>
          <w:highlight w:val="none"/>
          <w:shd w:val="clear" w:color="auto" w:fill="auto"/>
          <w:lang w:eastAsia="zh-CN"/>
        </w:rPr>
        <w:t>探索</w:t>
      </w:r>
      <w:r>
        <w:rPr>
          <w:rFonts w:hint="default" w:ascii="Times New Roman" w:hAnsi="Times New Roman" w:eastAsia="仿宋_GB2312" w:cs="Times New Roman"/>
          <w:color w:val="auto"/>
          <w:sz w:val="32"/>
          <w:szCs w:val="32"/>
          <w:highlight w:val="none"/>
          <w:shd w:val="clear" w:color="auto" w:fill="auto"/>
        </w:rPr>
        <w:t>建立标准科学的</w:t>
      </w:r>
      <w:r>
        <w:rPr>
          <w:rFonts w:hint="default" w:ascii="Times New Roman" w:hAnsi="Times New Roman" w:eastAsia="仿宋_GB2312" w:cs="Times New Roman"/>
          <w:color w:val="auto"/>
          <w:sz w:val="32"/>
          <w:szCs w:val="32"/>
          <w:highlight w:val="none"/>
          <w:shd w:val="clear" w:color="auto" w:fill="auto"/>
          <w:lang w:eastAsia="zh-CN"/>
        </w:rPr>
        <w:t>评价</w:t>
      </w:r>
      <w:r>
        <w:rPr>
          <w:rFonts w:hint="default" w:ascii="Times New Roman" w:hAnsi="Times New Roman" w:eastAsia="仿宋_GB2312" w:cs="Times New Roman"/>
          <w:color w:val="auto"/>
          <w:sz w:val="32"/>
          <w:szCs w:val="32"/>
          <w:highlight w:val="none"/>
          <w:shd w:val="clear" w:color="auto" w:fill="auto"/>
        </w:rPr>
        <w:t>指标体系，吸收</w:t>
      </w:r>
      <w:r>
        <w:rPr>
          <w:rFonts w:hint="default" w:ascii="Times New Roman" w:hAnsi="Times New Roman" w:eastAsia="仿宋_GB2312" w:cs="Times New Roman"/>
          <w:color w:val="auto"/>
          <w:sz w:val="32"/>
          <w:szCs w:val="32"/>
          <w:highlight w:val="none"/>
          <w:shd w:val="clear" w:color="auto" w:fill="auto"/>
          <w:lang w:eastAsia="zh-CN"/>
        </w:rPr>
        <w:t>其他地区</w:t>
      </w:r>
      <w:r>
        <w:rPr>
          <w:rFonts w:hint="default" w:ascii="Times New Roman" w:hAnsi="Times New Roman" w:eastAsia="仿宋_GB2312" w:cs="Times New Roman"/>
          <w:color w:val="auto"/>
          <w:sz w:val="32"/>
          <w:szCs w:val="32"/>
          <w:highlight w:val="none"/>
          <w:shd w:val="clear" w:color="auto" w:fill="auto"/>
        </w:rPr>
        <w:t>经验，整合、分析现有成果，分别按行业、领域、项目等制定绩效评价指标体系。</w:t>
      </w:r>
      <w:r>
        <w:rPr>
          <w:rFonts w:hint="default" w:ascii="Times New Roman" w:hAnsi="Times New Roman" w:eastAsia="仿宋_GB2312" w:cs="Times New Roman"/>
          <w:b/>
          <w:bCs/>
          <w:color w:val="auto"/>
          <w:sz w:val="32"/>
          <w:szCs w:val="32"/>
          <w:highlight w:val="none"/>
          <w:shd w:val="clear" w:color="auto" w:fill="auto"/>
        </w:rPr>
        <w:t>二是</w:t>
      </w:r>
      <w:r>
        <w:rPr>
          <w:rFonts w:hint="default" w:ascii="Times New Roman" w:hAnsi="Times New Roman" w:eastAsia="仿宋_GB2312" w:cs="Times New Roman"/>
          <w:color w:val="auto"/>
          <w:sz w:val="32"/>
          <w:szCs w:val="32"/>
          <w:highlight w:val="none"/>
          <w:shd w:val="clear" w:color="auto" w:fill="auto"/>
          <w:lang w:eastAsia="zh-CN"/>
        </w:rPr>
        <w:t>进一步加强对第三方机构从事财政支出绩效评价业务的引导和规范</w:t>
      </w:r>
      <w:r>
        <w:rPr>
          <w:rFonts w:hint="default" w:ascii="Times New Roman" w:hAnsi="Times New Roman" w:eastAsia="仿宋_GB2312" w:cs="Times New Roman"/>
          <w:color w:val="auto"/>
          <w:sz w:val="32"/>
          <w:szCs w:val="32"/>
          <w:highlight w:val="none"/>
          <w:shd w:val="clear" w:color="auto" w:fill="auto"/>
        </w:rPr>
        <w:t>，切实提高绩效评价</w:t>
      </w:r>
      <w:r>
        <w:rPr>
          <w:rFonts w:hint="default" w:ascii="Times New Roman" w:hAnsi="Times New Roman" w:eastAsia="仿宋_GB2312" w:cs="Times New Roman"/>
          <w:color w:val="auto"/>
          <w:sz w:val="32"/>
          <w:szCs w:val="32"/>
          <w:highlight w:val="none"/>
          <w:shd w:val="clear" w:color="auto" w:fill="auto"/>
          <w:lang w:eastAsia="zh-CN"/>
        </w:rPr>
        <w:t>报告</w:t>
      </w:r>
      <w:r>
        <w:rPr>
          <w:rFonts w:hint="default" w:ascii="Times New Roman" w:hAnsi="Times New Roman" w:eastAsia="仿宋_GB2312" w:cs="Times New Roman"/>
          <w:color w:val="auto"/>
          <w:sz w:val="32"/>
          <w:szCs w:val="32"/>
          <w:highlight w:val="none"/>
          <w:shd w:val="clear" w:color="auto" w:fill="auto"/>
        </w:rPr>
        <w:t>的专业性和公信力。</w:t>
      </w:r>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 w:cs="Times New Roman"/>
          <w:color w:val="auto"/>
          <w:sz w:val="30"/>
          <w:szCs w:val="30"/>
          <w:highlight w:val="none"/>
          <w:shd w:val="clear" w:color="auto" w:fill="auto"/>
          <w:lang w:val="en-US" w:eastAsia="zh-CN"/>
        </w:rPr>
      </w:pPr>
      <w:r>
        <w:rPr>
          <w:rFonts w:hint="default" w:ascii="Times New Roman" w:hAnsi="Times New Roman" w:eastAsia="仿宋" w:cs="Times New Roman"/>
          <w:color w:val="auto"/>
          <w:sz w:val="30"/>
          <w:szCs w:val="30"/>
          <w:highlight w:val="none"/>
          <w:shd w:val="clear" w:color="auto" w:fill="auto"/>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 w:cs="Times New Roman"/>
          <w:color w:val="auto"/>
          <w:sz w:val="30"/>
          <w:szCs w:val="30"/>
          <w:highlight w:val="none"/>
          <w:shd w:val="clear" w:color="auto" w:fill="auto"/>
          <w:lang w:val="en-US" w:eastAsia="zh-CN"/>
        </w:rPr>
      </w:pPr>
      <w:r>
        <w:rPr>
          <w:rFonts w:hint="default" w:ascii="Times New Roman" w:hAnsi="Times New Roman" w:eastAsia="仿宋" w:cs="Times New Roman"/>
          <w:color w:val="auto"/>
          <w:sz w:val="30"/>
          <w:szCs w:val="30"/>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rPr>
        <w:t>附件：2023年度越秀区财政支出绩效评价情况表</w:t>
      </w:r>
      <w:r>
        <w:rPr>
          <w:rFonts w:hint="default" w:ascii="Times New Roman" w:hAnsi="Times New Roman" w:eastAsia="仿宋" w:cs="Times New Roman"/>
          <w:color w:val="auto"/>
          <w:sz w:val="30"/>
          <w:szCs w:val="30"/>
          <w:highlight w:val="none"/>
          <w:shd w:val="clear" w:color="auto" w:fill="auto"/>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 w:cs="Times New Roman"/>
          <w:color w:val="auto"/>
          <w:sz w:val="30"/>
          <w:szCs w:val="30"/>
          <w:highlight w:val="none"/>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 w:cs="Times New Roman"/>
          <w:color w:val="auto"/>
          <w:sz w:val="30"/>
          <w:szCs w:val="30"/>
          <w:highlight w:val="none"/>
          <w:shd w:val="clear" w:color="auto" w:fill="auto"/>
          <w:lang w:val="en-US" w:eastAsia="zh-CN"/>
        </w:rPr>
      </w:pPr>
      <w:r>
        <w:rPr>
          <w:rFonts w:hint="eastAsia" w:ascii="Times New Roman" w:hAnsi="Times New Roman" w:eastAsia="仿宋" w:cs="Times New Roman"/>
          <w:color w:val="auto"/>
          <w:sz w:val="30"/>
          <w:szCs w:val="30"/>
          <w:highlight w:val="none"/>
          <w:shd w:val="clear" w:color="auto" w:fill="auto"/>
          <w:lang w:val="en-US" w:eastAsia="zh-CN"/>
        </w:rPr>
        <w:t xml:space="preserve">                                  </w:t>
      </w:r>
      <w:r>
        <w:rPr>
          <w:rFonts w:hint="default" w:ascii="Times New Roman" w:hAnsi="Times New Roman" w:eastAsia="仿宋" w:cs="Times New Roman"/>
          <w:color w:val="auto"/>
          <w:sz w:val="30"/>
          <w:szCs w:val="30"/>
          <w:highlight w:val="none"/>
          <w:shd w:val="clear" w:color="auto" w:fill="auto"/>
          <w:lang w:val="en-US" w:eastAsia="zh-CN"/>
        </w:rPr>
        <w:t xml:space="preserve"> </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36279"/>
    <w:multiLevelType w:val="singleLevel"/>
    <w:tmpl w:val="98E3627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ZTg4Y2NkMDJiMWEzYzA5ZGM4ZWNhNmMzZjQ0NTUifQ=="/>
    <w:docVar w:name="KSO_WPS_MARK_KEY" w:val="776758e4-0c51-4ee4-804a-9e4deca5288d"/>
  </w:docVars>
  <w:rsids>
    <w:rsidRoot w:val="5E473F07"/>
    <w:rsid w:val="005623AF"/>
    <w:rsid w:val="00A12A5F"/>
    <w:rsid w:val="013323E2"/>
    <w:rsid w:val="014E0B66"/>
    <w:rsid w:val="015476DB"/>
    <w:rsid w:val="016B0F24"/>
    <w:rsid w:val="017030EC"/>
    <w:rsid w:val="023B79A0"/>
    <w:rsid w:val="02607709"/>
    <w:rsid w:val="028024DC"/>
    <w:rsid w:val="0341262E"/>
    <w:rsid w:val="03E12CA4"/>
    <w:rsid w:val="04642223"/>
    <w:rsid w:val="05205DA4"/>
    <w:rsid w:val="05224F54"/>
    <w:rsid w:val="05A84572"/>
    <w:rsid w:val="05C41C2C"/>
    <w:rsid w:val="06F858CB"/>
    <w:rsid w:val="07275E60"/>
    <w:rsid w:val="07832BA1"/>
    <w:rsid w:val="0842480A"/>
    <w:rsid w:val="08566E82"/>
    <w:rsid w:val="097E50ED"/>
    <w:rsid w:val="0981433F"/>
    <w:rsid w:val="09C36DB0"/>
    <w:rsid w:val="0A79550A"/>
    <w:rsid w:val="0A9D129B"/>
    <w:rsid w:val="0B427292"/>
    <w:rsid w:val="0DCF3027"/>
    <w:rsid w:val="0FB65511"/>
    <w:rsid w:val="0FF860F6"/>
    <w:rsid w:val="10D9182D"/>
    <w:rsid w:val="117174F1"/>
    <w:rsid w:val="12241C6B"/>
    <w:rsid w:val="12863B5B"/>
    <w:rsid w:val="12ED3165"/>
    <w:rsid w:val="130C02AF"/>
    <w:rsid w:val="143811B7"/>
    <w:rsid w:val="14D47131"/>
    <w:rsid w:val="162808CF"/>
    <w:rsid w:val="16D0771A"/>
    <w:rsid w:val="16E81AA3"/>
    <w:rsid w:val="171B68D1"/>
    <w:rsid w:val="19502AFF"/>
    <w:rsid w:val="19EF498B"/>
    <w:rsid w:val="1A085187"/>
    <w:rsid w:val="1B296D93"/>
    <w:rsid w:val="1BC3375B"/>
    <w:rsid w:val="1C8C2FD7"/>
    <w:rsid w:val="1CF26B2B"/>
    <w:rsid w:val="1D505653"/>
    <w:rsid w:val="1DC9182B"/>
    <w:rsid w:val="1EDD59E2"/>
    <w:rsid w:val="1FA24BF3"/>
    <w:rsid w:val="1FEE22B8"/>
    <w:rsid w:val="2122788E"/>
    <w:rsid w:val="2191338F"/>
    <w:rsid w:val="21C81DCC"/>
    <w:rsid w:val="2226509A"/>
    <w:rsid w:val="225418B2"/>
    <w:rsid w:val="234D5876"/>
    <w:rsid w:val="23844098"/>
    <w:rsid w:val="239E7231"/>
    <w:rsid w:val="23EB3B50"/>
    <w:rsid w:val="23FA3D93"/>
    <w:rsid w:val="24E56099"/>
    <w:rsid w:val="253D5EEF"/>
    <w:rsid w:val="259F3F33"/>
    <w:rsid w:val="25CE75CD"/>
    <w:rsid w:val="25EA02B6"/>
    <w:rsid w:val="264A7253"/>
    <w:rsid w:val="26DA24A8"/>
    <w:rsid w:val="28774605"/>
    <w:rsid w:val="2904593E"/>
    <w:rsid w:val="29813F6A"/>
    <w:rsid w:val="2A744D08"/>
    <w:rsid w:val="2AB72260"/>
    <w:rsid w:val="2B0F2ED4"/>
    <w:rsid w:val="2B8E5B26"/>
    <w:rsid w:val="2C1B5C7B"/>
    <w:rsid w:val="2CD03790"/>
    <w:rsid w:val="2D5E75D1"/>
    <w:rsid w:val="31270277"/>
    <w:rsid w:val="31CD773D"/>
    <w:rsid w:val="31D75713"/>
    <w:rsid w:val="321D741F"/>
    <w:rsid w:val="32847F41"/>
    <w:rsid w:val="33FF78B0"/>
    <w:rsid w:val="34D86A07"/>
    <w:rsid w:val="35847994"/>
    <w:rsid w:val="37773F1B"/>
    <w:rsid w:val="377F4883"/>
    <w:rsid w:val="37AA4706"/>
    <w:rsid w:val="38635B96"/>
    <w:rsid w:val="386A108F"/>
    <w:rsid w:val="38E96A71"/>
    <w:rsid w:val="3A441E96"/>
    <w:rsid w:val="3ABB6524"/>
    <w:rsid w:val="3B4252D9"/>
    <w:rsid w:val="3C8A164C"/>
    <w:rsid w:val="3D4B5C47"/>
    <w:rsid w:val="3D644BD4"/>
    <w:rsid w:val="3E5F0F6A"/>
    <w:rsid w:val="40552C84"/>
    <w:rsid w:val="408E4D75"/>
    <w:rsid w:val="409C77C3"/>
    <w:rsid w:val="40A72DD8"/>
    <w:rsid w:val="42E67EAC"/>
    <w:rsid w:val="43E155C2"/>
    <w:rsid w:val="442D38BD"/>
    <w:rsid w:val="44D515D6"/>
    <w:rsid w:val="45216DA5"/>
    <w:rsid w:val="459A6BC5"/>
    <w:rsid w:val="46F561C5"/>
    <w:rsid w:val="4859110F"/>
    <w:rsid w:val="4A600544"/>
    <w:rsid w:val="4B8F5831"/>
    <w:rsid w:val="4C3A6B73"/>
    <w:rsid w:val="4C3E2D22"/>
    <w:rsid w:val="4C794F41"/>
    <w:rsid w:val="4D3A399E"/>
    <w:rsid w:val="4DAB7D28"/>
    <w:rsid w:val="4FAA70B7"/>
    <w:rsid w:val="516F08A1"/>
    <w:rsid w:val="51DD150C"/>
    <w:rsid w:val="530449F7"/>
    <w:rsid w:val="5335321E"/>
    <w:rsid w:val="55031F07"/>
    <w:rsid w:val="5513277B"/>
    <w:rsid w:val="557B4484"/>
    <w:rsid w:val="55E93AE3"/>
    <w:rsid w:val="56A84563"/>
    <w:rsid w:val="57395557"/>
    <w:rsid w:val="57CA70D6"/>
    <w:rsid w:val="58706522"/>
    <w:rsid w:val="58A363C3"/>
    <w:rsid w:val="594A5B2A"/>
    <w:rsid w:val="5987323B"/>
    <w:rsid w:val="59B9557B"/>
    <w:rsid w:val="5A112329"/>
    <w:rsid w:val="5B2A31F4"/>
    <w:rsid w:val="5B5D17DB"/>
    <w:rsid w:val="5B7B2291"/>
    <w:rsid w:val="5C0A3008"/>
    <w:rsid w:val="5CD23DF5"/>
    <w:rsid w:val="5D8C4AE5"/>
    <w:rsid w:val="5E1E62F4"/>
    <w:rsid w:val="5E303B97"/>
    <w:rsid w:val="5E473F07"/>
    <w:rsid w:val="5E722E3A"/>
    <w:rsid w:val="5ED36944"/>
    <w:rsid w:val="5EDA1D76"/>
    <w:rsid w:val="5F5A335C"/>
    <w:rsid w:val="5F655F31"/>
    <w:rsid w:val="5F667F53"/>
    <w:rsid w:val="5F93741B"/>
    <w:rsid w:val="5F9378B8"/>
    <w:rsid w:val="6090570F"/>
    <w:rsid w:val="60E85310"/>
    <w:rsid w:val="60EF0853"/>
    <w:rsid w:val="619F7A9A"/>
    <w:rsid w:val="624E085E"/>
    <w:rsid w:val="62F40043"/>
    <w:rsid w:val="638E4CAE"/>
    <w:rsid w:val="64281C7B"/>
    <w:rsid w:val="657700A1"/>
    <w:rsid w:val="657F1D6E"/>
    <w:rsid w:val="65D115D1"/>
    <w:rsid w:val="664A3244"/>
    <w:rsid w:val="68BB5917"/>
    <w:rsid w:val="692C44D8"/>
    <w:rsid w:val="6A4C7104"/>
    <w:rsid w:val="6A523A62"/>
    <w:rsid w:val="6A670C2F"/>
    <w:rsid w:val="6C12780C"/>
    <w:rsid w:val="6C2B5723"/>
    <w:rsid w:val="6CD37F7F"/>
    <w:rsid w:val="6CE173D3"/>
    <w:rsid w:val="6F4D07E7"/>
    <w:rsid w:val="6F74607B"/>
    <w:rsid w:val="6FDB5684"/>
    <w:rsid w:val="709D487B"/>
    <w:rsid w:val="7190020B"/>
    <w:rsid w:val="71AD2F9C"/>
    <w:rsid w:val="72901372"/>
    <w:rsid w:val="72A70B9A"/>
    <w:rsid w:val="730D3434"/>
    <w:rsid w:val="73462FF1"/>
    <w:rsid w:val="74020B99"/>
    <w:rsid w:val="74513288"/>
    <w:rsid w:val="74A01DB0"/>
    <w:rsid w:val="753327C3"/>
    <w:rsid w:val="76402E5F"/>
    <w:rsid w:val="76A8748D"/>
    <w:rsid w:val="77296166"/>
    <w:rsid w:val="77785D65"/>
    <w:rsid w:val="77ED29BB"/>
    <w:rsid w:val="78270612"/>
    <w:rsid w:val="78410565"/>
    <w:rsid w:val="78700CFE"/>
    <w:rsid w:val="79437D25"/>
    <w:rsid w:val="796B196E"/>
    <w:rsid w:val="7A184590"/>
    <w:rsid w:val="7A29378C"/>
    <w:rsid w:val="7B0009B0"/>
    <w:rsid w:val="7BA46AA1"/>
    <w:rsid w:val="7BF817F1"/>
    <w:rsid w:val="7D7C30CE"/>
    <w:rsid w:val="7DF12FD9"/>
    <w:rsid w:val="7DFF0DD3"/>
    <w:rsid w:val="7E58052B"/>
    <w:rsid w:val="7E7E66FB"/>
    <w:rsid w:val="7EDA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libri Light" w:hAnsi="Calibri Light" w:eastAsia="宋体" w:cs="黑体"/>
      <w:b/>
      <w:bCs/>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w:basedOn w:val="1"/>
    <w:next w:val="4"/>
    <w:qFormat/>
    <w:uiPriority w:val="99"/>
    <w:pPr>
      <w:spacing w:after="120"/>
    </w:pPr>
    <w:rPr>
      <w:szCs w:val="21"/>
    </w:rPr>
  </w:style>
  <w:style w:type="paragraph" w:styleId="4">
    <w:name w:val="toc 5"/>
    <w:basedOn w:val="1"/>
    <w:next w:val="1"/>
    <w:qFormat/>
    <w:uiPriority w:val="0"/>
    <w:pPr>
      <w:ind w:left="1680" w:leftChars="800"/>
    </w:pPr>
  </w:style>
  <w:style w:type="paragraph" w:styleId="6">
    <w:name w:val="Normal Indent"/>
    <w:basedOn w:val="1"/>
    <w:next w:val="7"/>
    <w:qFormat/>
    <w:uiPriority w:val="0"/>
    <w:pPr>
      <w:widowControl w:val="0"/>
      <w:adjustRightInd/>
      <w:snapToGrid/>
      <w:spacing w:line="240" w:lineRule="auto"/>
      <w:ind w:firstLine="420" w:firstLineChars="200"/>
      <w:jc w:val="both"/>
    </w:pPr>
    <w:rPr>
      <w:rFonts w:ascii="Calibri" w:hAnsi="Calibri" w:eastAsia="宋体" w:cs="Times New Roman"/>
      <w:snapToGrid/>
      <w:color w:val="000000"/>
      <w:kern w:val="2"/>
      <w:sz w:val="21"/>
      <w:szCs w:val="24"/>
      <w:lang w:val="en-US" w:eastAsia="zh-CN" w:bidi="ar-SA"/>
    </w:rPr>
  </w:style>
  <w:style w:type="paragraph" w:styleId="7">
    <w:name w:val="toc 4"/>
    <w:basedOn w:val="1"/>
    <w:next w:val="1"/>
    <w:qFormat/>
    <w:uiPriority w:val="0"/>
    <w:pPr>
      <w:ind w:left="1260" w:leftChars="600"/>
    </w:pPr>
  </w:style>
  <w:style w:type="paragraph" w:styleId="8">
    <w:name w:val="Body Text Indent"/>
    <w:basedOn w:val="1"/>
    <w:qFormat/>
    <w:uiPriority w:val="0"/>
    <w:pPr>
      <w:ind w:firstLine="63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unhideWhenUsed/>
    <w:qFormat/>
    <w:uiPriority w:val="39"/>
    <w:pPr>
      <w:ind w:left="100" w:leftChars="100" w:firstLine="0" w:firstLineChars="0"/>
    </w:pPr>
  </w:style>
  <w:style w:type="paragraph" w:styleId="12">
    <w:name w:val="Body Text First Indent"/>
    <w:basedOn w:val="1"/>
    <w:qFormat/>
    <w:uiPriority w:val="0"/>
    <w:pPr>
      <w:jc w:val="center"/>
    </w:pPr>
    <w:rPr>
      <w:rFonts w:cs="Times New Roman"/>
      <w:b/>
      <w:sz w:val="24"/>
    </w:rPr>
  </w:style>
  <w:style w:type="paragraph" w:styleId="13">
    <w:name w:val="Body Text First Indent 2"/>
    <w:basedOn w:val="8"/>
    <w:qFormat/>
    <w:uiPriority w:val="0"/>
    <w:pPr>
      <w:ind w:firstLine="420" w:firstLineChars="200"/>
    </w:pPr>
  </w:style>
  <w:style w:type="character" w:styleId="16">
    <w:name w:val="Strong"/>
    <w:basedOn w:val="15"/>
    <w:qFormat/>
    <w:uiPriority w:val="0"/>
    <w:rPr>
      <w:b/>
    </w:rPr>
  </w:style>
  <w:style w:type="character" w:styleId="17">
    <w:name w:val="Emphasis"/>
    <w:basedOn w:val="15"/>
    <w:qFormat/>
    <w:uiPriority w:val="0"/>
    <w:rPr>
      <w:i/>
    </w:rPr>
  </w:style>
  <w:style w:type="character" w:styleId="18">
    <w:name w:val="Hyperlink"/>
    <w:basedOn w:val="15"/>
    <w:qFormat/>
    <w:uiPriority w:val="0"/>
    <w:rPr>
      <w:color w:val="0000FF"/>
      <w:u w:val="single"/>
    </w:rPr>
  </w:style>
  <w:style w:type="paragraph" w:customStyle="1" w:styleId="19">
    <w:name w:val="BodyText"/>
    <w:basedOn w:val="20"/>
    <w:qFormat/>
    <w:uiPriority w:val="0"/>
    <w:pPr>
      <w:spacing w:after="120"/>
    </w:pPr>
  </w:style>
  <w:style w:type="paragraph" w:customStyle="1" w:styleId="20">
    <w:name w:val="正文 New New New New"/>
    <w:next w:val="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2">
    <w:name w:val="样式"/>
    <w:qFormat/>
    <w:uiPriority w:val="0"/>
    <w:pPr>
      <w:widowControl w:val="0"/>
      <w:autoSpaceDE w:val="0"/>
      <w:autoSpaceDN w:val="0"/>
      <w:adjustRightInd w:val="0"/>
      <w:textAlignment w:val="baseline"/>
    </w:pPr>
    <w:rPr>
      <w:rFonts w:ascii="Times New Roman" w:hAnsi="Times New Roman" w:eastAsia="仿宋_GB2312" w:cs="Times New Roman"/>
      <w:snapToGrid w:val="0"/>
      <w:kern w:val="2"/>
      <w:sz w:val="32"/>
      <w:szCs w:val="32"/>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NormalCharacter"/>
    <w:link w:val="25"/>
    <w:qFormat/>
    <w:uiPriority w:val="0"/>
    <w:rPr>
      <w:rFonts w:ascii="Calibri" w:hAnsi="Times New Roman" w:eastAsia="宋体" w:cs="Times New Roman"/>
      <w:kern w:val="2"/>
      <w:sz w:val="24"/>
      <w:lang w:val="en-US" w:eastAsia="zh-CN" w:bidi="ar-SA"/>
    </w:rPr>
  </w:style>
  <w:style w:type="paragraph" w:customStyle="1" w:styleId="25">
    <w:name w:val="UserStyle_0"/>
    <w:link w:val="24"/>
    <w:qFormat/>
    <w:uiPriority w:val="0"/>
    <w:pPr>
      <w:jc w:val="both"/>
    </w:pPr>
    <w:rPr>
      <w:rFonts w:ascii="Calibri"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1203</Words>
  <Characters>1255</Characters>
  <Lines>0</Lines>
  <Paragraphs>0</Paragraphs>
  <TotalTime>6</TotalTime>
  <ScaleCrop>false</ScaleCrop>
  <LinksUpToDate>false</LinksUpToDate>
  <CharactersWithSpaces>1264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2024-08-14T08:21:00Z</dcterms:created>
  <dc:creator>zhangwenh</dc:creator>
  <cp:lastModifiedBy>开岁既望</cp:lastModifiedBy>
  <cp:lastPrinted>2024-10-22T04:37:00Z</cp:lastPrinted>
  <dcterms:modified xsi:type="dcterms:W3CDTF">2024-11-28T11:47:08Z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6C9F1B63FC2743CEAEB8F07C54D1EB1C</vt:lpwstr>
  </property>
</Properties>
</file>