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</w:rPr>
        <w:t>2024社工服务项目评审方法、步骤及标准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44" w:leftChars="304" w:hanging="6" w:hangingChars="2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一、评审流程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先进行资格审查，然后进行项目评审，最后统计得分，推荐中选机构名单。其中项目评审包括技术和商务评审，服务工时和价格评审。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44" w:leftChars="304" w:hanging="6" w:hangingChars="2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二、资格审查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（一）评审委员会根据《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遴选资格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审查表》（附表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）内容对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机构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资格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审查，审查每份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参选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机构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是否实质上响应了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遴选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公告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的要求。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（二）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参选机构须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满足《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遴选资格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审查表》所列各项要求，只要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有其中一条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不满足，将被认定为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参选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无效。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有评委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参选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有效性认定意见不一致的，评审委员会按少数服从多数原则表决决定。认定为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参选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无效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不能进入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下一步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评审。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44" w:leftChars="304" w:hanging="6" w:hangingChars="2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三、项目评审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（一）评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审总分满分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为100分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总分等于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技术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满分50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、商务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满分20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服务工时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满分20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及价格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满分10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得分相加。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（二）技术、商务评审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由各评委根据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《技术评审表》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《商务评审表》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各自评分后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各评委评分的算术平均分即为机构该部分得分，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详见附表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、附表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（三）服务工时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和价格评审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服务工时评审满分 20 分,各机构中年度服务总工时最多的工时为基准服务工时，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各机构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服务工时得分=（计划投入本项目服务总工时量/基准服务工时）×20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价格评审满分 10 分,各机构中报价最小的价格为基准价格，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机构的价格得分=基准价格/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机构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报价×10。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此评分由评委会根据《服务工时和价格评分表》登记计算得分，详见附表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（四）评分</w:t>
      </w:r>
      <w:bookmarkStart w:id="10" w:name="_GoBack"/>
      <w:bookmarkEnd w:id="10"/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及统计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对参选机构进行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技术、商务评分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，计算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出服务工时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得分和价格得分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后，将技术、商务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得分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和服务工时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得分、价格得分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相加得出评审总得分（评审总得分分值按四舍五入原则精确到小数点后两位）。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44" w:leftChars="304" w:hanging="6" w:hangingChars="2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四、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推荐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中选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机构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（一）推荐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中选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机构名单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本项目推荐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中选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机构。将各有效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参选机构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按其评审总得分由高到低顺序排列，得分最高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且大于60分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参选机构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推荐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中选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机构。总得分相同的，按下列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得分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顺序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由高到低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确定：1.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价格；2.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服务工时；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.技术。如以上都相同的，名次由评审委员会抽签确定</w:t>
      </w:r>
      <w:r>
        <w:rPr>
          <w:rFonts w:hint="default" w:ascii="Times New Roman" w:hAnsi="Times New Roman" w:eastAsia="仿宋_GB2312" w:cs="Times New Roman"/>
          <w:bCs w:val="0"/>
          <w:color w:val="auto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（二）确定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中选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机构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根据评审委员会的评审结果，采购方依相关规定确定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中选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机构。</w:t>
      </w:r>
      <w:r>
        <w:rPr>
          <w:rFonts w:hint="default" w:ascii="Times New Roman" w:hAnsi="Times New Roman" w:cs="Times New Roman"/>
          <w:color w:val="auto"/>
        </w:rPr>
        <w:br w:type="page"/>
      </w:r>
      <w:bookmarkStart w:id="0" w:name="_Toc278274486"/>
      <w:bookmarkStart w:id="1" w:name="_Toc278794807"/>
      <w:bookmarkStart w:id="2" w:name="_Toc383780136"/>
      <w:bookmarkStart w:id="3" w:name="_Toc204664426"/>
      <w:bookmarkStart w:id="4" w:name="_Toc385946401"/>
      <w:bookmarkStart w:id="5" w:name="_Toc223856295"/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附表</w:t>
      </w:r>
      <w:bookmarkEnd w:id="0"/>
      <w:bookmarkEnd w:id="1"/>
      <w:bookmarkEnd w:id="2"/>
      <w:bookmarkEnd w:id="3"/>
      <w:bookmarkEnd w:id="4"/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1</w:t>
      </w:r>
    </w:p>
    <w:p>
      <w:pPr>
        <w:spacing w:line="360" w:lineRule="auto"/>
        <w:jc w:val="center"/>
        <w:rPr>
          <w:rFonts w:hint="default" w:ascii="Times New Roman" w:hAnsi="Times New Roman" w:eastAsia="方正小标宋简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lang w:eastAsia="zh-CN"/>
        </w:rPr>
        <w:t>遴选资格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审查表</w:t>
      </w:r>
    </w:p>
    <w:tbl>
      <w:tblPr>
        <w:tblStyle w:val="9"/>
        <w:tblW w:w="99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3373"/>
        <w:gridCol w:w="1226"/>
        <w:gridCol w:w="1090"/>
        <w:gridCol w:w="1104"/>
        <w:gridCol w:w="1253"/>
        <w:gridCol w:w="1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6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t>审查项目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t>要求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szCs w:val="21"/>
              </w:rPr>
            </w:pPr>
          </w:p>
        </w:tc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szCs w:val="21"/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szCs w:val="21"/>
              </w:rPr>
            </w:pP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szCs w:val="21"/>
              </w:rPr>
            </w:pP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</w:trPr>
        <w:tc>
          <w:tcPr>
            <w:tcW w:w="6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eastAsia="zh-CN"/>
              </w:rPr>
              <w:t>遴选资格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  <w:t>审查</w:t>
            </w:r>
          </w:p>
        </w:tc>
        <w:tc>
          <w:tcPr>
            <w:tcW w:w="33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1、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eastAsia="zh-CN"/>
              </w:rPr>
              <w:t>参选机构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  <w:t>具有从事社会工作服务资质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  <w:t>应在民政部门正式登记注册，近3年内无重大违法记录，通过年检或按要求履行年度报告公示义务，信用状况良好，未被列入社会组织异常名录。</w:t>
            </w:r>
          </w:p>
        </w:tc>
        <w:tc>
          <w:tcPr>
            <w:tcW w:w="12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default" w:ascii="Times New Roman" w:hAnsi="Times New Roman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10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default" w:ascii="Times New Roman" w:hAnsi="Times New Roman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11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default" w:ascii="Times New Roman" w:hAnsi="Times New Roman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125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default" w:ascii="Times New Roman" w:hAnsi="Times New Roman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12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default" w:ascii="Times New Roman" w:hAnsi="Times New Roman" w:eastAsia="宋体" w:cs="Times New Roman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</w:trPr>
        <w:tc>
          <w:tcPr>
            <w:tcW w:w="6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3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参选机构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  <w:t>应承诺安排不少于1名项目主任和3名一线社工，驻场负责实施本项目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eastAsia="zh-CN"/>
              </w:rPr>
              <w:t>。机构拥有专业服务支持性资源，具备符合资质的专业督导至少1名，为项目运作提供理论咨询和实务指导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  <w:t>。</w:t>
            </w:r>
          </w:p>
        </w:tc>
        <w:tc>
          <w:tcPr>
            <w:tcW w:w="12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default" w:ascii="Times New Roman" w:hAnsi="Times New Roman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10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default" w:ascii="Times New Roman" w:hAnsi="Times New Roman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11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default" w:ascii="Times New Roman" w:hAnsi="Times New Roman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125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default" w:ascii="Times New Roman" w:hAnsi="Times New Roman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12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default" w:ascii="Times New Roman" w:hAnsi="Times New Roman" w:eastAsia="宋体" w:cs="Times New Roman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6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参选机构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有遴选报名函，非法人代表签字的有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法人代表授权书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且有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盖章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公章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。</w:t>
            </w:r>
          </w:p>
        </w:tc>
        <w:tc>
          <w:tcPr>
            <w:tcW w:w="12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default" w:ascii="Times New Roman" w:hAnsi="Times New Roman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10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default" w:ascii="Times New Roman" w:hAnsi="Times New Roman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11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default" w:ascii="Times New Roman" w:hAnsi="Times New Roman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125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default" w:ascii="Times New Roman" w:hAnsi="Times New Roman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12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default" w:ascii="Times New Roman" w:hAnsi="Times New Roman" w:eastAsia="宋体" w:cs="Times New Roman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65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 w:eastAsia="zh-CN"/>
              </w:rPr>
              <w:t>报价不大于40万元</w:t>
            </w:r>
          </w:p>
        </w:tc>
        <w:tc>
          <w:tcPr>
            <w:tcW w:w="12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default" w:ascii="Times New Roman" w:hAnsi="Times New Roman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10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default" w:ascii="Times New Roman" w:hAnsi="Times New Roman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11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default" w:ascii="Times New Roman" w:hAnsi="Times New Roman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125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default" w:ascii="Times New Roman" w:hAnsi="Times New Roman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12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default" w:ascii="Times New Roman" w:hAnsi="Times New Roman" w:eastAsia="宋体" w:cs="Times New Roman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65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 w:eastAsia="zh-CN"/>
              </w:rPr>
              <w:t>5、年度服务工时最低不得少于7360小时</w:t>
            </w:r>
          </w:p>
        </w:tc>
        <w:tc>
          <w:tcPr>
            <w:tcW w:w="12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default" w:ascii="Times New Roman" w:hAnsi="Times New Roman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10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default" w:ascii="Times New Roman" w:hAnsi="Times New Roman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11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default" w:ascii="Times New Roman" w:hAnsi="Times New Roman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125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default" w:ascii="Times New Roman" w:hAnsi="Times New Roman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12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default" w:ascii="Times New Roman" w:hAnsi="Times New Roman" w:eastAsia="宋体" w:cs="Times New Roman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65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  <w:t>结论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 w:eastAsia="zh-CN"/>
              </w:rPr>
              <w:t>通过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  <w:t>打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  <w:t>“√”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  <w:t>不通过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  <w:t>“×”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default" w:ascii="Times New Roman" w:hAnsi="Times New Roman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10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default" w:ascii="Times New Roman" w:hAnsi="Times New Roman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11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default" w:ascii="Times New Roman" w:hAnsi="Times New Roman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125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default" w:ascii="Times New Roman" w:hAnsi="Times New Roman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12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default" w:ascii="Times New Roman" w:hAnsi="Times New Roman" w:eastAsia="宋体" w:cs="Times New Roman"/>
                <w:bCs/>
                <w:color w:val="auto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08" w:hanging="808" w:hangingChars="337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注：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1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每一项符合的打“√”，不符合的打“×”。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2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“结论”一栏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全部项目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符合的打“√”，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有任何一项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不符合的打“×”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任何一项出现“×”的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机构视为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为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参选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3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汇总时出现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不同意见的，评委会按少数服从多数原则表决决定。</w:t>
      </w:r>
    </w:p>
    <w:p>
      <w:pPr>
        <w:spacing w:after="120" w:afterLines="50"/>
        <w:rPr>
          <w:rFonts w:hint="default" w:ascii="Times New Roman" w:hAnsi="Times New Roman" w:eastAsia="黑体" w:cs="Times New Roman"/>
          <w:b/>
          <w:color w:val="auto"/>
          <w:szCs w:val="21"/>
        </w:rPr>
      </w:pPr>
      <w:r>
        <w:rPr>
          <w:rFonts w:hint="default" w:ascii="Times New Roman" w:hAnsi="Times New Roman" w:eastAsia="宋体" w:cs="Times New Roman"/>
          <w:color w:val="auto"/>
        </w:rPr>
        <w:br w:type="page"/>
      </w:r>
      <w:bookmarkStart w:id="6" w:name="_Toc278274487"/>
      <w:bookmarkStart w:id="7" w:name="_Toc278794808"/>
      <w:bookmarkStart w:id="8" w:name="_Toc385946402"/>
      <w:bookmarkStart w:id="9" w:name="_Toc383780137"/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附表</w:t>
      </w:r>
      <w:bookmarkEnd w:id="5"/>
      <w:bookmarkEnd w:id="6"/>
      <w:bookmarkEnd w:id="7"/>
      <w:bookmarkEnd w:id="8"/>
      <w:bookmarkEnd w:id="9"/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2</w:t>
      </w:r>
    </w:p>
    <w:p>
      <w:pPr>
        <w:spacing w:after="120" w:afterLines="50"/>
        <w:jc w:val="center"/>
        <w:rPr>
          <w:rFonts w:hint="default" w:ascii="Times New Roman" w:hAnsi="Times New Roman" w:cs="Times New Roman"/>
          <w:b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b/>
          <w:color w:val="auto"/>
          <w:sz w:val="21"/>
          <w:szCs w:val="21"/>
        </w:rPr>
        <w:t xml:space="preserve">  </w:t>
      </w:r>
      <w:r>
        <w:rPr>
          <w:rFonts w:hint="default" w:ascii="Times New Roman" w:hAnsi="Times New Roman" w:cs="Times New Roman"/>
          <w:b/>
          <w:color w:val="auto"/>
          <w:sz w:val="32"/>
          <w:szCs w:val="32"/>
        </w:rPr>
        <w:t xml:space="preserve">  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技术评分表（50分）</w:t>
      </w:r>
    </w:p>
    <w:tbl>
      <w:tblPr>
        <w:tblStyle w:val="9"/>
        <w:tblW w:w="965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2168"/>
        <w:gridCol w:w="1941"/>
        <w:gridCol w:w="731"/>
        <w:gridCol w:w="1190"/>
        <w:gridCol w:w="991"/>
        <w:gridCol w:w="1066"/>
        <w:gridCol w:w="805"/>
        <w:gridCol w:w="7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52" w:hRule="exact"/>
          <w:tblHeader/>
        </w:trPr>
        <w:tc>
          <w:tcPr>
            <w:tcW w:w="2168" w:type="dxa"/>
            <w:tcBorders>
              <w:top w:val="single" w:color="auto" w:sz="12" w:space="0"/>
              <w:bottom w:val="single" w:color="auto" w:sz="6" w:space="0"/>
            </w:tcBorders>
            <w:shd w:val="clear" w:color="auto" w:fill="E0E0E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t>评审项目</w:t>
            </w:r>
          </w:p>
        </w:tc>
        <w:tc>
          <w:tcPr>
            <w:tcW w:w="1941" w:type="dxa"/>
            <w:tcBorders>
              <w:top w:val="single" w:color="auto" w:sz="12" w:space="0"/>
              <w:bottom w:val="single" w:color="auto" w:sz="6" w:space="0"/>
            </w:tcBorders>
            <w:shd w:val="clear" w:color="auto" w:fill="E0E0E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t>评分标准</w:t>
            </w:r>
          </w:p>
        </w:tc>
        <w:tc>
          <w:tcPr>
            <w:tcW w:w="731" w:type="dxa"/>
            <w:tcBorders>
              <w:top w:val="single" w:color="auto" w:sz="12" w:space="0"/>
              <w:bottom w:val="single" w:color="auto" w:sz="6" w:space="0"/>
            </w:tcBorders>
            <w:shd w:val="clear" w:color="auto" w:fill="E0E0E0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t>分值</w:t>
            </w:r>
          </w:p>
        </w:tc>
        <w:tc>
          <w:tcPr>
            <w:tcW w:w="119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0E0E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color="auto" w:sz="12" w:space="0"/>
              <w:bottom w:val="single" w:color="auto" w:sz="6" w:space="0"/>
            </w:tcBorders>
            <w:shd w:val="clear" w:color="auto" w:fill="E0E0E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12" w:space="0"/>
              <w:bottom w:val="single" w:color="auto" w:sz="6" w:space="0"/>
            </w:tcBorders>
            <w:shd w:val="clear" w:color="auto" w:fill="E0E0E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auto" w:sz="12" w:space="0"/>
              <w:bottom w:val="single" w:color="auto" w:sz="6" w:space="0"/>
            </w:tcBorders>
            <w:shd w:val="clear" w:color="auto" w:fill="E0E0E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color="auto" w:sz="12" w:space="0"/>
              <w:bottom w:val="single" w:color="auto" w:sz="6" w:space="0"/>
            </w:tcBorders>
            <w:shd w:val="clear" w:color="auto" w:fill="E0E0E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31" w:hRule="atLeast"/>
        </w:trPr>
        <w:tc>
          <w:tcPr>
            <w:tcW w:w="2168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服务方案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总体切合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程度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高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可行、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详细，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完全根据老年人和护理人员需求制定。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（10分）</w:t>
            </w:r>
          </w:p>
        </w:tc>
        <w:tc>
          <w:tcPr>
            <w:tcW w:w="1941" w:type="dxa"/>
            <w:tcBorders>
              <w:top w:val="single" w:color="auto" w:sz="6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综合评价为优</w:t>
            </w:r>
          </w:p>
        </w:tc>
        <w:tc>
          <w:tcPr>
            <w:tcW w:w="731" w:type="dxa"/>
            <w:tcBorders>
              <w:top w:val="single" w:color="auto" w:sz="6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7-10</w:t>
            </w:r>
          </w:p>
        </w:tc>
        <w:tc>
          <w:tcPr>
            <w:tcW w:w="1190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spacing w:line="280" w:lineRule="exact"/>
              <w:ind w:left="210" w:leftChars="10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1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spacing w:line="280" w:lineRule="exact"/>
              <w:ind w:left="210" w:leftChars="10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spacing w:line="280" w:lineRule="exact"/>
              <w:ind w:left="210" w:leftChars="10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spacing w:line="280" w:lineRule="exact"/>
              <w:ind w:left="210" w:leftChars="10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4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spacing w:line="280" w:lineRule="exact"/>
              <w:ind w:left="210" w:leftChars="10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51" w:hRule="atLeast"/>
        </w:trPr>
        <w:tc>
          <w:tcPr>
            <w:tcW w:w="2168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color="auto" w:sz="6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综合评价为一般</w:t>
            </w:r>
          </w:p>
        </w:tc>
        <w:tc>
          <w:tcPr>
            <w:tcW w:w="731" w:type="dxa"/>
            <w:tcBorders>
              <w:top w:val="single" w:color="auto" w:sz="6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3-6</w:t>
            </w:r>
          </w:p>
        </w:tc>
        <w:tc>
          <w:tcPr>
            <w:tcW w:w="1190" w:type="dxa"/>
            <w:vMerge w:val="continue"/>
            <w:vAlign w:val="center"/>
          </w:tcPr>
          <w:p>
            <w:pPr>
              <w:snapToGrid w:val="0"/>
              <w:spacing w:line="280" w:lineRule="exact"/>
              <w:ind w:left="210" w:leftChars="10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1" w:type="dxa"/>
            <w:vMerge w:val="continue"/>
            <w:vAlign w:val="center"/>
          </w:tcPr>
          <w:p>
            <w:pPr>
              <w:snapToGrid w:val="0"/>
              <w:spacing w:line="280" w:lineRule="exact"/>
              <w:ind w:left="210" w:leftChars="10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snapToGrid w:val="0"/>
              <w:spacing w:line="280" w:lineRule="exact"/>
              <w:ind w:left="210" w:leftChars="10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vMerge w:val="continue"/>
            <w:vAlign w:val="center"/>
          </w:tcPr>
          <w:p>
            <w:pPr>
              <w:snapToGrid w:val="0"/>
              <w:spacing w:line="280" w:lineRule="exact"/>
              <w:ind w:left="210" w:leftChars="10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snapToGrid w:val="0"/>
              <w:spacing w:line="280" w:lineRule="exact"/>
              <w:ind w:left="210" w:leftChars="10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51" w:hRule="atLeast"/>
        </w:trPr>
        <w:tc>
          <w:tcPr>
            <w:tcW w:w="2168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color="auto" w:sz="6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综合评价为差</w:t>
            </w:r>
          </w:p>
        </w:tc>
        <w:tc>
          <w:tcPr>
            <w:tcW w:w="731" w:type="dxa"/>
            <w:tcBorders>
              <w:top w:val="single" w:color="auto" w:sz="6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0-2</w:t>
            </w:r>
          </w:p>
        </w:tc>
        <w:tc>
          <w:tcPr>
            <w:tcW w:w="1190" w:type="dxa"/>
            <w:vMerge w:val="continue"/>
            <w:vAlign w:val="center"/>
          </w:tcPr>
          <w:p>
            <w:pPr>
              <w:snapToGrid w:val="0"/>
              <w:spacing w:line="280" w:lineRule="exact"/>
              <w:ind w:left="210" w:leftChars="10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1" w:type="dxa"/>
            <w:vMerge w:val="continue"/>
            <w:vAlign w:val="center"/>
          </w:tcPr>
          <w:p>
            <w:pPr>
              <w:snapToGrid w:val="0"/>
              <w:spacing w:line="280" w:lineRule="exact"/>
              <w:ind w:left="210" w:leftChars="10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snapToGrid w:val="0"/>
              <w:spacing w:line="280" w:lineRule="exact"/>
              <w:ind w:left="210" w:leftChars="10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vMerge w:val="continue"/>
            <w:vAlign w:val="center"/>
          </w:tcPr>
          <w:p>
            <w:pPr>
              <w:snapToGrid w:val="0"/>
              <w:spacing w:line="280" w:lineRule="exact"/>
              <w:ind w:left="210" w:leftChars="10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snapToGrid w:val="0"/>
              <w:spacing w:line="280" w:lineRule="exact"/>
              <w:ind w:left="210" w:leftChars="10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47" w:hRule="atLeast"/>
        </w:trPr>
        <w:tc>
          <w:tcPr>
            <w:tcW w:w="2168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 w:eastAsia="zh-CN"/>
              </w:rPr>
              <w:t>2、服务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  <w:t>管理架构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 w:eastAsia="zh-CN"/>
              </w:rPr>
              <w:t>清晰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  <w:t>、服务标准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 w:eastAsia="zh-CN"/>
              </w:rPr>
              <w:t>高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 w:eastAsia="zh-CN"/>
              </w:rPr>
              <w:t>有完善的服务管理制度。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1941" w:type="dxa"/>
            <w:tcBorders>
              <w:top w:val="single" w:color="auto" w:sz="6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综合评价为优</w:t>
            </w:r>
          </w:p>
        </w:tc>
        <w:tc>
          <w:tcPr>
            <w:tcW w:w="731" w:type="dxa"/>
            <w:tcBorders>
              <w:top w:val="single" w:color="auto" w:sz="6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90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spacing w:line="280" w:lineRule="exact"/>
              <w:ind w:left="210" w:leftChars="10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1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spacing w:line="280" w:lineRule="exact"/>
              <w:ind w:left="210" w:leftChars="10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spacing w:line="280" w:lineRule="exact"/>
              <w:ind w:left="210" w:leftChars="10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spacing w:line="280" w:lineRule="exact"/>
              <w:ind w:left="210" w:leftChars="10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4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spacing w:line="280" w:lineRule="exact"/>
              <w:ind w:left="210" w:leftChars="10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47" w:hRule="atLeast"/>
        </w:trPr>
        <w:tc>
          <w:tcPr>
            <w:tcW w:w="2168" w:type="dxa"/>
            <w:vMerge w:val="continue"/>
            <w:vAlign w:val="center"/>
          </w:tcPr>
          <w:p>
            <w:pPr>
              <w:snapToGrid w:val="0"/>
              <w:spacing w:line="280" w:lineRule="exact"/>
              <w:ind w:left="210" w:leftChars="1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综合评价为一般</w:t>
            </w:r>
          </w:p>
        </w:tc>
        <w:tc>
          <w:tcPr>
            <w:tcW w:w="731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90" w:type="dxa"/>
            <w:vMerge w:val="continue"/>
            <w:vAlign w:val="center"/>
          </w:tcPr>
          <w:p>
            <w:pPr>
              <w:snapToGrid w:val="0"/>
              <w:spacing w:line="280" w:lineRule="exact"/>
              <w:ind w:left="210" w:leftChars="10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1" w:type="dxa"/>
            <w:vMerge w:val="continue"/>
            <w:vAlign w:val="center"/>
          </w:tcPr>
          <w:p>
            <w:pPr>
              <w:snapToGrid w:val="0"/>
              <w:spacing w:line="280" w:lineRule="exact"/>
              <w:ind w:left="210" w:leftChars="10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snapToGrid w:val="0"/>
              <w:spacing w:line="280" w:lineRule="exact"/>
              <w:ind w:left="210" w:leftChars="10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vMerge w:val="continue"/>
            <w:vAlign w:val="center"/>
          </w:tcPr>
          <w:p>
            <w:pPr>
              <w:snapToGrid w:val="0"/>
              <w:spacing w:line="280" w:lineRule="exact"/>
              <w:ind w:left="210" w:leftChars="10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snapToGrid w:val="0"/>
              <w:spacing w:line="280" w:lineRule="exact"/>
              <w:ind w:left="210" w:leftChars="10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47" w:hRule="atLeast"/>
        </w:trPr>
        <w:tc>
          <w:tcPr>
            <w:tcW w:w="2168" w:type="dxa"/>
            <w:vMerge w:val="continue"/>
            <w:vAlign w:val="center"/>
          </w:tcPr>
          <w:p>
            <w:pPr>
              <w:snapToGrid w:val="0"/>
              <w:spacing w:line="280" w:lineRule="exact"/>
              <w:ind w:left="210" w:leftChars="1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综合评价为差</w:t>
            </w:r>
          </w:p>
        </w:tc>
        <w:tc>
          <w:tcPr>
            <w:tcW w:w="731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0-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90" w:type="dxa"/>
            <w:vMerge w:val="continue"/>
            <w:vAlign w:val="center"/>
          </w:tcPr>
          <w:p>
            <w:pPr>
              <w:snapToGrid w:val="0"/>
              <w:spacing w:line="280" w:lineRule="exact"/>
              <w:ind w:left="210" w:leftChars="10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1" w:type="dxa"/>
            <w:vMerge w:val="continue"/>
            <w:vAlign w:val="center"/>
          </w:tcPr>
          <w:p>
            <w:pPr>
              <w:snapToGrid w:val="0"/>
              <w:spacing w:line="280" w:lineRule="exact"/>
              <w:ind w:left="210" w:leftChars="10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snapToGrid w:val="0"/>
              <w:spacing w:line="280" w:lineRule="exact"/>
              <w:ind w:left="210" w:leftChars="10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vMerge w:val="continue"/>
            <w:vAlign w:val="center"/>
          </w:tcPr>
          <w:p>
            <w:pPr>
              <w:snapToGrid w:val="0"/>
              <w:spacing w:line="280" w:lineRule="exact"/>
              <w:ind w:left="210" w:leftChars="10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snapToGrid w:val="0"/>
              <w:spacing w:line="280" w:lineRule="exact"/>
              <w:ind w:left="210" w:leftChars="10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95" w:hRule="atLeast"/>
        </w:trPr>
        <w:tc>
          <w:tcPr>
            <w:tcW w:w="2168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3、方案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根据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院方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实际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情况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设计特色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项目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活动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，树立服务品牌。（8分）</w:t>
            </w:r>
          </w:p>
        </w:tc>
        <w:tc>
          <w:tcPr>
            <w:tcW w:w="1941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综合评价为优</w:t>
            </w:r>
          </w:p>
        </w:tc>
        <w:tc>
          <w:tcPr>
            <w:tcW w:w="731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6-8</w:t>
            </w:r>
          </w:p>
        </w:tc>
        <w:tc>
          <w:tcPr>
            <w:tcW w:w="119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991" w:type="dxa"/>
            <w:vMerge w:val="restart"/>
            <w:vAlign w:val="center"/>
          </w:tcPr>
          <w:p>
            <w:pPr>
              <w:snapToGrid w:val="0"/>
              <w:spacing w:line="280" w:lineRule="exact"/>
              <w:ind w:left="210" w:leftChars="10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snapToGrid w:val="0"/>
              <w:spacing w:line="280" w:lineRule="exact"/>
              <w:ind w:left="210" w:leftChars="10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vMerge w:val="restart"/>
            <w:vAlign w:val="center"/>
          </w:tcPr>
          <w:p>
            <w:pPr>
              <w:snapToGrid w:val="0"/>
              <w:spacing w:line="280" w:lineRule="exact"/>
              <w:ind w:left="210" w:leftChars="10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4" w:type="dxa"/>
            <w:vMerge w:val="restart"/>
            <w:vAlign w:val="center"/>
          </w:tcPr>
          <w:p>
            <w:pPr>
              <w:snapToGrid w:val="0"/>
              <w:spacing w:line="280" w:lineRule="exact"/>
              <w:ind w:left="210" w:leftChars="10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14" w:hRule="atLeast"/>
        </w:trPr>
        <w:tc>
          <w:tcPr>
            <w:tcW w:w="2168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综合评价为一般</w:t>
            </w:r>
          </w:p>
        </w:tc>
        <w:tc>
          <w:tcPr>
            <w:tcW w:w="731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3-5</w:t>
            </w:r>
          </w:p>
        </w:tc>
        <w:tc>
          <w:tcPr>
            <w:tcW w:w="1190" w:type="dxa"/>
            <w:vMerge w:val="continue"/>
            <w:vAlign w:val="center"/>
          </w:tcPr>
          <w:p>
            <w:pPr>
              <w:snapToGrid w:val="0"/>
              <w:spacing w:line="280" w:lineRule="exact"/>
              <w:ind w:left="210" w:leftChars="10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1" w:type="dxa"/>
            <w:vMerge w:val="continue"/>
            <w:vAlign w:val="center"/>
          </w:tcPr>
          <w:p>
            <w:pPr>
              <w:snapToGrid w:val="0"/>
              <w:spacing w:line="280" w:lineRule="exact"/>
              <w:ind w:left="210" w:leftChars="10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snapToGrid w:val="0"/>
              <w:spacing w:line="280" w:lineRule="exact"/>
              <w:ind w:left="210" w:leftChars="10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vMerge w:val="continue"/>
            <w:vAlign w:val="center"/>
          </w:tcPr>
          <w:p>
            <w:pPr>
              <w:snapToGrid w:val="0"/>
              <w:spacing w:line="280" w:lineRule="exact"/>
              <w:ind w:left="210" w:leftChars="10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snapToGrid w:val="0"/>
              <w:spacing w:line="280" w:lineRule="exact"/>
              <w:ind w:left="210" w:leftChars="10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37" w:hRule="atLeast"/>
        </w:trPr>
        <w:tc>
          <w:tcPr>
            <w:tcW w:w="2168" w:type="dxa"/>
            <w:vMerge w:val="continue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综合评价为差</w:t>
            </w:r>
          </w:p>
        </w:tc>
        <w:tc>
          <w:tcPr>
            <w:tcW w:w="731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0-2</w:t>
            </w:r>
          </w:p>
        </w:tc>
        <w:tc>
          <w:tcPr>
            <w:tcW w:w="1190" w:type="dxa"/>
            <w:vMerge w:val="continue"/>
            <w:vAlign w:val="center"/>
          </w:tcPr>
          <w:p>
            <w:pPr>
              <w:snapToGrid w:val="0"/>
              <w:spacing w:line="280" w:lineRule="exact"/>
              <w:ind w:left="210" w:leftChars="10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1" w:type="dxa"/>
            <w:vMerge w:val="continue"/>
            <w:vAlign w:val="center"/>
          </w:tcPr>
          <w:p>
            <w:pPr>
              <w:snapToGrid w:val="0"/>
              <w:spacing w:line="280" w:lineRule="exact"/>
              <w:ind w:left="210" w:leftChars="10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snapToGrid w:val="0"/>
              <w:spacing w:line="280" w:lineRule="exact"/>
              <w:ind w:left="210" w:leftChars="10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vMerge w:val="continue"/>
            <w:vAlign w:val="center"/>
          </w:tcPr>
          <w:p>
            <w:pPr>
              <w:snapToGrid w:val="0"/>
              <w:spacing w:line="280" w:lineRule="exact"/>
              <w:ind w:left="210" w:leftChars="10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snapToGrid w:val="0"/>
              <w:spacing w:line="280" w:lineRule="exact"/>
              <w:ind w:left="210" w:leftChars="10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89" w:hRule="atLeast"/>
        </w:trPr>
        <w:tc>
          <w:tcPr>
            <w:tcW w:w="2168" w:type="dxa"/>
            <w:vMerge w:val="restart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4、有利用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社会资源动员能力，与企事业单位有合作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案例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或方案计划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，为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院方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提供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丰富活动和服务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。（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分）</w:t>
            </w:r>
          </w:p>
        </w:tc>
        <w:tc>
          <w:tcPr>
            <w:tcW w:w="1941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综合评价为优</w:t>
            </w:r>
          </w:p>
        </w:tc>
        <w:tc>
          <w:tcPr>
            <w:tcW w:w="731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90" w:type="dxa"/>
            <w:vMerge w:val="restart"/>
            <w:vAlign w:val="center"/>
          </w:tcPr>
          <w:p>
            <w:pPr>
              <w:widowControl/>
              <w:snapToGrid w:val="0"/>
              <w:spacing w:line="280" w:lineRule="exact"/>
              <w:ind w:left="210" w:leftChars="10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1" w:type="dxa"/>
            <w:vMerge w:val="restart"/>
            <w:vAlign w:val="center"/>
          </w:tcPr>
          <w:p>
            <w:pPr>
              <w:widowControl/>
              <w:snapToGrid w:val="0"/>
              <w:spacing w:line="280" w:lineRule="exact"/>
              <w:ind w:left="210" w:leftChars="10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widowControl/>
              <w:snapToGrid w:val="0"/>
              <w:spacing w:line="280" w:lineRule="exact"/>
              <w:ind w:left="210" w:leftChars="10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vMerge w:val="restart"/>
            <w:vAlign w:val="center"/>
          </w:tcPr>
          <w:p>
            <w:pPr>
              <w:widowControl/>
              <w:snapToGrid w:val="0"/>
              <w:spacing w:line="280" w:lineRule="exact"/>
              <w:ind w:left="210" w:leftChars="10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4" w:type="dxa"/>
            <w:vMerge w:val="restart"/>
            <w:vAlign w:val="center"/>
          </w:tcPr>
          <w:p>
            <w:pPr>
              <w:widowControl/>
              <w:snapToGrid w:val="0"/>
              <w:spacing w:line="280" w:lineRule="exact"/>
              <w:ind w:left="210" w:leftChars="10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90" w:hRule="atLeast"/>
        </w:trPr>
        <w:tc>
          <w:tcPr>
            <w:tcW w:w="2168" w:type="dxa"/>
            <w:vMerge w:val="continue"/>
            <w:vAlign w:val="center"/>
          </w:tcPr>
          <w:p>
            <w:pPr>
              <w:widowControl/>
              <w:snapToGrid w:val="0"/>
              <w:spacing w:line="280" w:lineRule="exact"/>
              <w:ind w:left="210" w:leftChars="100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94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综合评价为一般</w:t>
            </w:r>
          </w:p>
        </w:tc>
        <w:tc>
          <w:tcPr>
            <w:tcW w:w="731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2-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90" w:type="dxa"/>
            <w:vMerge w:val="continue"/>
            <w:vAlign w:val="center"/>
          </w:tcPr>
          <w:p>
            <w:pPr>
              <w:widowControl/>
              <w:snapToGrid w:val="0"/>
              <w:spacing w:line="280" w:lineRule="exact"/>
              <w:ind w:left="210" w:leftChars="10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1" w:type="dxa"/>
            <w:vMerge w:val="continue"/>
            <w:vAlign w:val="center"/>
          </w:tcPr>
          <w:p>
            <w:pPr>
              <w:widowControl/>
              <w:snapToGrid w:val="0"/>
              <w:spacing w:line="280" w:lineRule="exact"/>
              <w:ind w:left="210" w:leftChars="10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widowControl/>
              <w:snapToGrid w:val="0"/>
              <w:spacing w:line="280" w:lineRule="exact"/>
              <w:ind w:left="210" w:leftChars="10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vMerge w:val="continue"/>
            <w:vAlign w:val="center"/>
          </w:tcPr>
          <w:p>
            <w:pPr>
              <w:widowControl/>
              <w:snapToGrid w:val="0"/>
              <w:spacing w:line="280" w:lineRule="exact"/>
              <w:ind w:left="210" w:leftChars="10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widowControl/>
              <w:snapToGrid w:val="0"/>
              <w:spacing w:line="280" w:lineRule="exact"/>
              <w:ind w:left="210" w:leftChars="10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60" w:hRule="atLeast"/>
        </w:trPr>
        <w:tc>
          <w:tcPr>
            <w:tcW w:w="2168" w:type="dxa"/>
            <w:vMerge w:val="continue"/>
            <w:vAlign w:val="center"/>
          </w:tcPr>
          <w:p>
            <w:pPr>
              <w:widowControl/>
              <w:snapToGrid w:val="0"/>
              <w:spacing w:line="280" w:lineRule="exact"/>
              <w:ind w:left="210" w:leftChars="100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94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综合评价为差</w:t>
            </w:r>
          </w:p>
        </w:tc>
        <w:tc>
          <w:tcPr>
            <w:tcW w:w="731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0-1</w:t>
            </w:r>
          </w:p>
        </w:tc>
        <w:tc>
          <w:tcPr>
            <w:tcW w:w="1190" w:type="dxa"/>
            <w:vMerge w:val="continue"/>
            <w:vAlign w:val="center"/>
          </w:tcPr>
          <w:p>
            <w:pPr>
              <w:widowControl/>
              <w:snapToGrid w:val="0"/>
              <w:spacing w:line="280" w:lineRule="exact"/>
              <w:ind w:left="210" w:leftChars="10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1" w:type="dxa"/>
            <w:vMerge w:val="continue"/>
            <w:vAlign w:val="center"/>
          </w:tcPr>
          <w:p>
            <w:pPr>
              <w:widowControl/>
              <w:snapToGrid w:val="0"/>
              <w:spacing w:line="280" w:lineRule="exact"/>
              <w:ind w:left="210" w:leftChars="10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widowControl/>
              <w:snapToGrid w:val="0"/>
              <w:spacing w:line="280" w:lineRule="exact"/>
              <w:ind w:left="210" w:leftChars="10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vMerge w:val="continue"/>
            <w:vAlign w:val="center"/>
          </w:tcPr>
          <w:p>
            <w:pPr>
              <w:widowControl/>
              <w:snapToGrid w:val="0"/>
              <w:spacing w:line="280" w:lineRule="exact"/>
              <w:ind w:left="210" w:leftChars="10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widowControl/>
              <w:snapToGrid w:val="0"/>
              <w:spacing w:line="280" w:lineRule="exact"/>
              <w:ind w:left="210" w:leftChars="10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06" w:hRule="atLeast"/>
        </w:trPr>
        <w:tc>
          <w:tcPr>
            <w:tcW w:w="2168" w:type="dxa"/>
            <w:vMerge w:val="restart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具有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相关措施或制度，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能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及时和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积极回应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福利院或服务对象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要求，不断改善服务水准，提升服务质量（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1941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综合评价为优</w:t>
            </w:r>
          </w:p>
        </w:tc>
        <w:tc>
          <w:tcPr>
            <w:tcW w:w="731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6-8</w:t>
            </w:r>
          </w:p>
        </w:tc>
        <w:tc>
          <w:tcPr>
            <w:tcW w:w="119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ind w:left="210" w:leftChars="10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ind w:left="210" w:leftChars="10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widowControl/>
              <w:snapToGrid w:val="0"/>
              <w:spacing w:line="280" w:lineRule="exact"/>
              <w:ind w:left="210" w:leftChars="10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vMerge w:val="restart"/>
            <w:vAlign w:val="center"/>
          </w:tcPr>
          <w:p>
            <w:pPr>
              <w:widowControl/>
              <w:snapToGrid w:val="0"/>
              <w:spacing w:line="280" w:lineRule="exact"/>
              <w:ind w:left="210" w:leftChars="10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4" w:type="dxa"/>
            <w:vMerge w:val="restart"/>
            <w:vAlign w:val="center"/>
          </w:tcPr>
          <w:p>
            <w:pPr>
              <w:widowControl/>
              <w:snapToGrid w:val="0"/>
              <w:spacing w:line="280" w:lineRule="exact"/>
              <w:ind w:left="210" w:leftChars="10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06" w:hRule="atLeast"/>
        </w:trPr>
        <w:tc>
          <w:tcPr>
            <w:tcW w:w="2168" w:type="dxa"/>
            <w:vMerge w:val="continue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94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综合评价为一般</w:t>
            </w:r>
          </w:p>
        </w:tc>
        <w:tc>
          <w:tcPr>
            <w:tcW w:w="731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3-5</w:t>
            </w:r>
          </w:p>
        </w:tc>
        <w:tc>
          <w:tcPr>
            <w:tcW w:w="119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ind w:left="210" w:leftChars="10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ind w:left="210" w:leftChars="10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widowControl/>
              <w:snapToGrid w:val="0"/>
              <w:spacing w:line="280" w:lineRule="exact"/>
              <w:ind w:left="210" w:leftChars="10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vMerge w:val="continue"/>
            <w:vAlign w:val="center"/>
          </w:tcPr>
          <w:p>
            <w:pPr>
              <w:widowControl/>
              <w:snapToGrid w:val="0"/>
              <w:spacing w:line="280" w:lineRule="exact"/>
              <w:ind w:left="210" w:leftChars="10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widowControl/>
              <w:snapToGrid w:val="0"/>
              <w:spacing w:line="280" w:lineRule="exact"/>
              <w:ind w:left="210" w:leftChars="10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223" w:hRule="atLeast"/>
        </w:trPr>
        <w:tc>
          <w:tcPr>
            <w:tcW w:w="2168" w:type="dxa"/>
            <w:vMerge w:val="continue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94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综合评价为差</w:t>
            </w:r>
          </w:p>
        </w:tc>
        <w:tc>
          <w:tcPr>
            <w:tcW w:w="731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0-2</w:t>
            </w:r>
          </w:p>
        </w:tc>
        <w:tc>
          <w:tcPr>
            <w:tcW w:w="119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ind w:left="210" w:leftChars="10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ind w:left="210" w:leftChars="10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widowControl/>
              <w:snapToGrid w:val="0"/>
              <w:spacing w:line="280" w:lineRule="exact"/>
              <w:ind w:left="210" w:leftChars="10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vMerge w:val="continue"/>
            <w:vAlign w:val="center"/>
          </w:tcPr>
          <w:p>
            <w:pPr>
              <w:widowControl/>
              <w:snapToGrid w:val="0"/>
              <w:spacing w:line="280" w:lineRule="exact"/>
              <w:ind w:left="210" w:leftChars="10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widowControl/>
              <w:snapToGrid w:val="0"/>
              <w:spacing w:line="280" w:lineRule="exact"/>
              <w:ind w:left="210" w:leftChars="10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01" w:hRule="atLeast"/>
        </w:trPr>
        <w:tc>
          <w:tcPr>
            <w:tcW w:w="2168" w:type="dxa"/>
            <w:vMerge w:val="restart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6、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各项服务开展详细计划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并有切实安全保障方案。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（10分）</w:t>
            </w:r>
          </w:p>
        </w:tc>
        <w:tc>
          <w:tcPr>
            <w:tcW w:w="1941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综合评价为优</w:t>
            </w:r>
          </w:p>
        </w:tc>
        <w:tc>
          <w:tcPr>
            <w:tcW w:w="731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7-10</w:t>
            </w:r>
          </w:p>
        </w:tc>
        <w:tc>
          <w:tcPr>
            <w:tcW w:w="119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ind w:left="210" w:leftChars="10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ind w:left="210" w:leftChars="10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ind w:left="210" w:leftChars="10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ind w:left="210" w:leftChars="10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ind w:left="210" w:leftChars="10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01" w:hRule="atLeast"/>
        </w:trPr>
        <w:tc>
          <w:tcPr>
            <w:tcW w:w="2168" w:type="dxa"/>
            <w:vMerge w:val="continue"/>
            <w:vAlign w:val="center"/>
          </w:tcPr>
          <w:p>
            <w:pPr>
              <w:widowControl/>
              <w:snapToGrid w:val="0"/>
              <w:spacing w:line="280" w:lineRule="exact"/>
              <w:ind w:left="210" w:leftChars="100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综合评价为一般</w:t>
            </w:r>
          </w:p>
        </w:tc>
        <w:tc>
          <w:tcPr>
            <w:tcW w:w="731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3-6</w:t>
            </w:r>
          </w:p>
        </w:tc>
        <w:tc>
          <w:tcPr>
            <w:tcW w:w="119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ind w:left="210" w:leftChars="10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ind w:left="210" w:leftChars="10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ind w:left="210" w:leftChars="10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ind w:left="210" w:leftChars="10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ind w:left="210" w:leftChars="10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79" w:hRule="atLeast"/>
        </w:trPr>
        <w:tc>
          <w:tcPr>
            <w:tcW w:w="2168" w:type="dxa"/>
            <w:vMerge w:val="continue"/>
            <w:vAlign w:val="center"/>
          </w:tcPr>
          <w:p>
            <w:pPr>
              <w:widowControl/>
              <w:snapToGrid w:val="0"/>
              <w:spacing w:line="280" w:lineRule="exact"/>
              <w:ind w:left="210" w:leftChars="100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综合评价为差</w:t>
            </w:r>
          </w:p>
        </w:tc>
        <w:tc>
          <w:tcPr>
            <w:tcW w:w="731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0-2</w:t>
            </w:r>
          </w:p>
        </w:tc>
        <w:tc>
          <w:tcPr>
            <w:tcW w:w="11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ind w:left="210" w:leftChars="10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ind w:left="210" w:leftChars="10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ind w:left="210" w:leftChars="10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ind w:left="210" w:leftChars="10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ind w:left="210" w:leftChars="10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00" w:hRule="atLeast"/>
        </w:trPr>
        <w:tc>
          <w:tcPr>
            <w:tcW w:w="216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合    计</w:t>
            </w:r>
          </w:p>
        </w:tc>
        <w:tc>
          <w:tcPr>
            <w:tcW w:w="26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left="210" w:leftChars="10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满分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50分</w:t>
            </w:r>
          </w:p>
        </w:tc>
        <w:tc>
          <w:tcPr>
            <w:tcW w:w="11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4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eastAsia="仿宋_GB2312" w:cs="Times New Roman"/>
          <w:b/>
          <w:color w:val="auto"/>
          <w:szCs w:val="21"/>
        </w:rPr>
      </w:pPr>
    </w:p>
    <w:p>
      <w:pPr>
        <w:spacing w:line="360" w:lineRule="auto"/>
        <w:rPr>
          <w:rFonts w:hint="default" w:ascii="Times New Roman" w:hAnsi="Times New Roman" w:eastAsia="黑体" w:cs="Times New Roman"/>
          <w:bCs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color w:val="auto"/>
          <w:szCs w:val="21"/>
        </w:rPr>
        <w:t>备注：</w:t>
      </w:r>
      <w:r>
        <w:rPr>
          <w:rFonts w:hint="default" w:ascii="Times New Roman" w:hAnsi="Times New Roman" w:eastAsia="仿宋_GB2312" w:cs="Times New Roman"/>
          <w:b/>
          <w:color w:val="auto"/>
          <w:szCs w:val="21"/>
          <w:lang w:eastAsia="zh-CN"/>
        </w:rPr>
        <w:t>参选机构</w:t>
      </w:r>
      <w:r>
        <w:rPr>
          <w:rFonts w:hint="default" w:ascii="Times New Roman" w:hAnsi="Times New Roman" w:eastAsia="仿宋_GB2312" w:cs="Times New Roman"/>
          <w:b/>
          <w:color w:val="auto"/>
          <w:szCs w:val="21"/>
        </w:rPr>
        <w:t>如未提交</w:t>
      </w:r>
      <w:r>
        <w:rPr>
          <w:rFonts w:hint="default" w:ascii="Times New Roman" w:hAnsi="Times New Roman" w:eastAsia="仿宋_GB2312" w:cs="Times New Roman"/>
          <w:b/>
          <w:color w:val="auto"/>
          <w:szCs w:val="21"/>
          <w:lang w:val="en-US" w:eastAsia="zh-CN"/>
        </w:rPr>
        <w:t>相关证明材料</w:t>
      </w:r>
      <w:r>
        <w:rPr>
          <w:rFonts w:hint="default" w:ascii="Times New Roman" w:hAnsi="Times New Roman" w:eastAsia="仿宋_GB2312" w:cs="Times New Roman"/>
          <w:b/>
          <w:color w:val="auto"/>
          <w:szCs w:val="21"/>
        </w:rPr>
        <w:t>的，该项评分为零分。</w:t>
      </w:r>
      <w:r>
        <w:rPr>
          <w:rFonts w:hint="default" w:ascii="Times New Roman" w:hAnsi="Times New Roman" w:eastAsia="仿宋_GB2312" w:cs="Times New Roman"/>
          <w:b/>
          <w:color w:val="auto"/>
          <w:szCs w:val="21"/>
          <w:lang w:val="en-US" w:eastAsia="zh-CN"/>
        </w:rPr>
        <w:t>评委评审请填写整数分值。</w:t>
      </w:r>
      <w:r>
        <w:rPr>
          <w:rFonts w:hint="default" w:ascii="Times New Roman" w:hAnsi="Times New Roman" w:eastAsia="仿宋_GB2312" w:cs="Times New Roman"/>
          <w:b/>
          <w:color w:val="auto"/>
          <w:szCs w:val="21"/>
        </w:rPr>
        <w:br w:type="page"/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附表3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商务评分表（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0分）</w:t>
      </w:r>
    </w:p>
    <w:tbl>
      <w:tblPr>
        <w:tblStyle w:val="9"/>
        <w:tblW w:w="971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1886"/>
        <w:gridCol w:w="2567"/>
        <w:gridCol w:w="738"/>
        <w:gridCol w:w="1126"/>
        <w:gridCol w:w="989"/>
        <w:gridCol w:w="930"/>
        <w:gridCol w:w="740"/>
        <w:gridCol w:w="7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005" w:hRule="exact"/>
          <w:tblHeader/>
          <w:jc w:val="center"/>
        </w:trPr>
        <w:tc>
          <w:tcPr>
            <w:tcW w:w="1886" w:type="dxa"/>
            <w:tcBorders>
              <w:top w:val="single" w:color="auto" w:sz="12" w:space="0"/>
              <w:bottom w:val="single" w:color="auto" w:sz="6" w:space="0"/>
            </w:tcBorders>
            <w:shd w:val="clear" w:color="auto" w:fill="E0E0E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t>评审项目</w:t>
            </w:r>
          </w:p>
        </w:tc>
        <w:tc>
          <w:tcPr>
            <w:tcW w:w="2567" w:type="dxa"/>
            <w:tcBorders>
              <w:top w:val="single" w:color="auto" w:sz="12" w:space="0"/>
              <w:bottom w:val="single" w:color="auto" w:sz="6" w:space="0"/>
            </w:tcBorders>
            <w:shd w:val="clear" w:color="auto" w:fill="E0E0E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t>评分标准</w:t>
            </w:r>
          </w:p>
        </w:tc>
        <w:tc>
          <w:tcPr>
            <w:tcW w:w="738" w:type="dxa"/>
            <w:tcBorders>
              <w:top w:val="single" w:color="auto" w:sz="12" w:space="0"/>
              <w:bottom w:val="single" w:color="auto" w:sz="6" w:space="0"/>
            </w:tcBorders>
            <w:shd w:val="clear" w:color="auto" w:fill="E0E0E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t>分值</w:t>
            </w:r>
          </w:p>
        </w:tc>
        <w:tc>
          <w:tcPr>
            <w:tcW w:w="1126" w:type="dxa"/>
            <w:tcBorders>
              <w:top w:val="single" w:color="auto" w:sz="12" w:space="0"/>
              <w:bottom w:val="single" w:color="auto" w:sz="6" w:space="0"/>
            </w:tcBorders>
            <w:shd w:val="clear" w:color="auto" w:fill="E0E0E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auto"/>
                <w:sz w:val="13"/>
                <w:szCs w:val="13"/>
              </w:rPr>
            </w:pPr>
          </w:p>
        </w:tc>
        <w:tc>
          <w:tcPr>
            <w:tcW w:w="989" w:type="dxa"/>
            <w:tcBorders>
              <w:top w:val="single" w:color="auto" w:sz="12" w:space="0"/>
              <w:bottom w:val="single" w:color="auto" w:sz="6" w:space="0"/>
            </w:tcBorders>
            <w:shd w:val="clear" w:color="auto" w:fill="E0E0E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auto"/>
                <w:sz w:val="13"/>
                <w:szCs w:val="13"/>
              </w:rPr>
            </w:pPr>
          </w:p>
        </w:tc>
        <w:tc>
          <w:tcPr>
            <w:tcW w:w="93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0E0E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auto"/>
                <w:sz w:val="13"/>
                <w:szCs w:val="13"/>
              </w:rPr>
            </w:pPr>
          </w:p>
        </w:tc>
        <w:tc>
          <w:tcPr>
            <w:tcW w:w="74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0E0E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auto"/>
                <w:sz w:val="13"/>
                <w:szCs w:val="13"/>
              </w:rPr>
            </w:pPr>
          </w:p>
        </w:tc>
        <w:tc>
          <w:tcPr>
            <w:tcW w:w="74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0E0E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auto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782" w:hRule="atLeast"/>
          <w:jc w:val="center"/>
        </w:trPr>
        <w:tc>
          <w:tcPr>
            <w:tcW w:w="1886" w:type="dxa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  <w:t>财务情况</w:t>
            </w:r>
          </w:p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2567" w:type="dxa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提供202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、20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两年经会计师事务所审计的财务审计报告、资产负债表及损益表，横向对比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综合评价为优：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3-4</w:t>
            </w:r>
          </w:p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综合评价为一般：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综合评价为差：0-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38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26" w:type="dxa"/>
            <w:vAlign w:val="center"/>
          </w:tcPr>
          <w:p>
            <w:pPr>
              <w:snapToGrid w:val="0"/>
              <w:spacing w:line="300" w:lineRule="auto"/>
              <w:ind w:left="210" w:leftChars="10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989" w:type="dxa"/>
            <w:vAlign w:val="center"/>
          </w:tcPr>
          <w:p>
            <w:pPr>
              <w:snapToGrid w:val="0"/>
              <w:spacing w:line="300" w:lineRule="auto"/>
              <w:ind w:left="210" w:leftChars="10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snapToGrid w:val="0"/>
              <w:spacing w:line="300" w:lineRule="auto"/>
              <w:ind w:left="210" w:leftChars="10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740" w:type="dxa"/>
            <w:vAlign w:val="center"/>
          </w:tcPr>
          <w:p>
            <w:pPr>
              <w:snapToGrid w:val="0"/>
              <w:spacing w:line="300" w:lineRule="auto"/>
              <w:ind w:left="210" w:leftChars="10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740" w:type="dxa"/>
            <w:vAlign w:val="center"/>
          </w:tcPr>
          <w:p>
            <w:pPr>
              <w:snapToGrid w:val="0"/>
              <w:spacing w:line="300" w:lineRule="auto"/>
              <w:ind w:left="210" w:leftChars="10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796" w:hRule="atLeast"/>
          <w:jc w:val="center"/>
        </w:trPr>
        <w:tc>
          <w:tcPr>
            <w:tcW w:w="1886" w:type="dxa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人才队伍的素质（提供助理社会工作师、社会工作师、心理咨询师等专业技术资格证书，人才队伍人员的学历构成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工作经验等）</w:t>
            </w:r>
          </w:p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2567" w:type="dxa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配备专业人员的职业资格，进行横向比较。提供专业社工不少于3名，项目主任不少于1名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督导不少于1名。</w:t>
            </w:r>
          </w:p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综合评价为优：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8-10</w:t>
            </w:r>
          </w:p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综合评价为一般：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7</w:t>
            </w:r>
          </w:p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综合评价为差：0-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0-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26" w:type="dxa"/>
            <w:vAlign w:val="center"/>
          </w:tcPr>
          <w:p>
            <w:pPr>
              <w:widowControl/>
              <w:snapToGrid w:val="0"/>
              <w:spacing w:line="300" w:lineRule="auto"/>
              <w:ind w:left="210" w:leftChars="10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989" w:type="dxa"/>
            <w:vAlign w:val="center"/>
          </w:tcPr>
          <w:p>
            <w:pPr>
              <w:widowControl/>
              <w:snapToGrid w:val="0"/>
              <w:spacing w:line="300" w:lineRule="auto"/>
              <w:ind w:left="210" w:leftChars="10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/>
              <w:snapToGrid w:val="0"/>
              <w:spacing w:line="300" w:lineRule="auto"/>
              <w:ind w:left="210" w:leftChars="10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740" w:type="dxa"/>
            <w:vAlign w:val="center"/>
          </w:tcPr>
          <w:p>
            <w:pPr>
              <w:widowControl/>
              <w:snapToGrid w:val="0"/>
              <w:spacing w:line="300" w:lineRule="auto"/>
              <w:ind w:left="210" w:leftChars="10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740" w:type="dxa"/>
            <w:vAlign w:val="center"/>
          </w:tcPr>
          <w:p>
            <w:pPr>
              <w:widowControl/>
              <w:snapToGrid w:val="0"/>
              <w:spacing w:line="300" w:lineRule="auto"/>
              <w:ind w:left="210" w:leftChars="10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404" w:hRule="atLeast"/>
          <w:jc w:val="center"/>
        </w:trPr>
        <w:tc>
          <w:tcPr>
            <w:tcW w:w="1886" w:type="dxa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服务业绩</w:t>
            </w:r>
          </w:p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（提供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中选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通知书或合同复印件）</w:t>
            </w:r>
          </w:p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2567" w:type="dxa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过往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有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为老服务相关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经验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每多一个为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老服务相关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项目得2分；其他类型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社会工作服务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项目得1分。本项最高得分不超过6分。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0-6</w:t>
            </w:r>
          </w:p>
        </w:tc>
        <w:tc>
          <w:tcPr>
            <w:tcW w:w="1126" w:type="dxa"/>
            <w:vAlign w:val="center"/>
          </w:tcPr>
          <w:p>
            <w:pPr>
              <w:widowControl/>
              <w:snapToGrid w:val="0"/>
              <w:spacing w:line="300" w:lineRule="auto"/>
              <w:ind w:left="210" w:leftChars="10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989" w:type="dxa"/>
            <w:vAlign w:val="center"/>
          </w:tcPr>
          <w:p>
            <w:pPr>
              <w:widowControl/>
              <w:snapToGrid w:val="0"/>
              <w:spacing w:line="300" w:lineRule="auto"/>
              <w:ind w:left="210" w:leftChars="10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widowControl/>
              <w:snapToGrid w:val="0"/>
              <w:spacing w:line="300" w:lineRule="auto"/>
              <w:ind w:left="210" w:leftChars="10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740" w:type="dxa"/>
            <w:vAlign w:val="center"/>
          </w:tcPr>
          <w:p>
            <w:pPr>
              <w:widowControl/>
              <w:snapToGrid w:val="0"/>
              <w:spacing w:line="300" w:lineRule="auto"/>
              <w:ind w:left="210" w:leftChars="10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740" w:type="dxa"/>
            <w:vAlign w:val="center"/>
          </w:tcPr>
          <w:p>
            <w:pPr>
              <w:widowControl/>
              <w:snapToGrid w:val="0"/>
              <w:spacing w:line="300" w:lineRule="auto"/>
              <w:ind w:left="210" w:leftChars="10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886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合    计</w:t>
            </w:r>
          </w:p>
        </w:tc>
        <w:tc>
          <w:tcPr>
            <w:tcW w:w="330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left="210" w:leftChars="10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满分2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0分</w:t>
            </w:r>
          </w:p>
        </w:tc>
        <w:tc>
          <w:tcPr>
            <w:tcW w:w="1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9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93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7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74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</w:tbl>
    <w:p>
      <w:pPr>
        <w:pStyle w:val="13"/>
        <w:shd w:val="clear" w:color="auto" w:fill="auto"/>
        <w:spacing w:before="504" w:after="40" w:line="210" w:lineRule="exact"/>
        <w:ind w:right="100"/>
        <w:jc w:val="both"/>
        <w:rPr>
          <w:rFonts w:hint="default" w:ascii="Times New Roman" w:hAnsi="Times New Roman" w:eastAsia="宋体" w:cs="Times New Roman"/>
          <w:color w:val="auto"/>
        </w:rPr>
        <w:sectPr>
          <w:footerReference r:id="rId3" w:type="default"/>
          <w:pgSz w:w="11906" w:h="16838"/>
          <w:pgMar w:top="2098" w:right="1474" w:bottom="1984" w:left="1587" w:header="567" w:footer="1417" w:gutter="0"/>
          <w:pgNumType w:fmt="decimal"/>
          <w:cols w:space="720" w:num="1"/>
          <w:docGrid w:linePitch="360" w:charSpace="0"/>
        </w:sectPr>
      </w:pPr>
      <w:r>
        <w:rPr>
          <w:rFonts w:hint="default" w:ascii="Times New Roman" w:hAnsi="Times New Roman" w:eastAsia="仿宋_GB2312" w:cs="Times New Roman"/>
          <w:bCs w:val="0"/>
          <w:color w:val="auto"/>
        </w:rPr>
        <w:t>备注：</w:t>
      </w:r>
      <w:r>
        <w:rPr>
          <w:rFonts w:hint="default" w:ascii="Times New Roman" w:hAnsi="Times New Roman" w:eastAsia="仿宋_GB2312" w:cs="Times New Roman"/>
          <w:b/>
          <w:color w:val="auto"/>
          <w:szCs w:val="21"/>
          <w:lang w:eastAsia="zh-CN"/>
        </w:rPr>
        <w:t>参选机构</w:t>
      </w:r>
      <w:r>
        <w:rPr>
          <w:rFonts w:hint="default" w:ascii="Times New Roman" w:hAnsi="Times New Roman" w:eastAsia="仿宋_GB2312" w:cs="Times New Roman"/>
          <w:b/>
          <w:color w:val="auto"/>
          <w:szCs w:val="21"/>
        </w:rPr>
        <w:t>如未提交</w:t>
      </w:r>
      <w:r>
        <w:rPr>
          <w:rFonts w:hint="default" w:ascii="Times New Roman" w:hAnsi="Times New Roman" w:eastAsia="仿宋_GB2312" w:cs="Times New Roman"/>
          <w:b/>
          <w:color w:val="auto"/>
          <w:szCs w:val="21"/>
          <w:lang w:val="en-US" w:eastAsia="zh-CN"/>
        </w:rPr>
        <w:t>相关证明材料</w:t>
      </w:r>
      <w:r>
        <w:rPr>
          <w:rFonts w:hint="default" w:ascii="Times New Roman" w:hAnsi="Times New Roman" w:eastAsia="仿宋_GB2312" w:cs="Times New Roman"/>
          <w:b/>
          <w:color w:val="auto"/>
          <w:szCs w:val="21"/>
        </w:rPr>
        <w:t>的，该项评分为零分。</w:t>
      </w:r>
      <w:r>
        <w:rPr>
          <w:rFonts w:hint="default" w:ascii="Times New Roman" w:hAnsi="Times New Roman" w:eastAsia="仿宋_GB2312" w:cs="Times New Roman"/>
          <w:b/>
          <w:color w:val="auto"/>
          <w:szCs w:val="21"/>
          <w:lang w:val="en-US" w:eastAsia="zh-CN"/>
        </w:rPr>
        <w:t>评委评审请填写整数分值。</w:t>
      </w:r>
    </w:p>
    <w:p>
      <w:pPr>
        <w:snapToGrid w:val="0"/>
        <w:ind w:left="441" w:hanging="470" w:hangingChars="147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附表4</w:t>
      </w:r>
    </w:p>
    <w:p>
      <w:pPr>
        <w:snapToGrid w:val="0"/>
        <w:ind w:left="354" w:hanging="354" w:hangingChars="147"/>
        <w:jc w:val="center"/>
        <w:rPr>
          <w:rFonts w:hint="default" w:ascii="Times New Roman" w:hAnsi="Times New Roman" w:cs="Times New Roman"/>
          <w:b/>
          <w:color w:val="auto"/>
          <w:sz w:val="24"/>
        </w:rPr>
      </w:pPr>
    </w:p>
    <w:p>
      <w:pPr>
        <w:snapToGrid w:val="0"/>
        <w:ind w:left="470" w:hanging="646" w:hangingChars="147"/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服务工时和价格评分表</w:t>
      </w:r>
    </w:p>
    <w:tbl>
      <w:tblPr>
        <w:tblStyle w:val="9"/>
        <w:tblpPr w:leftFromText="180" w:rightFromText="180" w:vertAnchor="text" w:horzAnchor="page" w:tblpX="1578" w:tblpY="320"/>
        <w:tblOverlap w:val="never"/>
        <w:tblW w:w="13888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3710"/>
        <w:gridCol w:w="1640"/>
        <w:gridCol w:w="1639"/>
        <w:gridCol w:w="1540"/>
        <w:gridCol w:w="1350"/>
        <w:gridCol w:w="1350"/>
        <w:gridCol w:w="152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4" w:type="dxa"/>
            <w:shd w:val="clear" w:color="auto" w:fill="E0E0E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3710" w:type="dxa"/>
            <w:shd w:val="clear" w:color="auto" w:fill="E0E0E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参选机构</w:t>
            </w:r>
          </w:p>
        </w:tc>
        <w:tc>
          <w:tcPr>
            <w:tcW w:w="1640" w:type="dxa"/>
            <w:shd w:val="clear" w:color="auto" w:fill="E0E0E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  <w:lang w:val="en-US" w:eastAsia="zh-CN"/>
              </w:rPr>
              <w:t>机构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t>服务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t>工时（小时）</w:t>
            </w:r>
          </w:p>
        </w:tc>
        <w:tc>
          <w:tcPr>
            <w:tcW w:w="1639" w:type="dxa"/>
            <w:shd w:val="clear" w:color="auto" w:fill="E0E0E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t>基准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  <w:lang w:val="en-US" w:eastAsia="zh-CN"/>
              </w:rPr>
              <w:t>服务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  <w:lang w:val="en-US" w:eastAsia="zh-CN"/>
              </w:rPr>
              <w:t>工时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t>（小时）</w:t>
            </w:r>
          </w:p>
        </w:tc>
        <w:tc>
          <w:tcPr>
            <w:tcW w:w="1540" w:type="dxa"/>
            <w:shd w:val="clear" w:color="auto" w:fill="E0E0E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  <w:lang w:val="en-US" w:eastAsia="zh-CN"/>
              </w:rPr>
              <w:t>机构报价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  <w:lang w:val="en-US" w:eastAsia="zh-CN"/>
              </w:rPr>
              <w:t>（元）</w:t>
            </w:r>
          </w:p>
        </w:tc>
        <w:tc>
          <w:tcPr>
            <w:tcW w:w="1350" w:type="dxa"/>
            <w:shd w:val="clear" w:color="auto" w:fill="E0E0E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t>基准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  <w:lang w:val="en-US" w:eastAsia="zh-CN"/>
              </w:rPr>
              <w:t>价格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t>）</w:t>
            </w:r>
          </w:p>
        </w:tc>
        <w:tc>
          <w:tcPr>
            <w:tcW w:w="1350" w:type="dxa"/>
            <w:shd w:val="clear" w:color="auto" w:fill="E0E0E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  <w:lang w:val="en-US" w:eastAsia="zh-CN"/>
              </w:rPr>
              <w:t>服务工时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  <w:lang w:val="en-US" w:eastAsia="zh-CN"/>
              </w:rPr>
              <w:t>得分</w:t>
            </w:r>
          </w:p>
        </w:tc>
        <w:tc>
          <w:tcPr>
            <w:tcW w:w="1525" w:type="dxa"/>
            <w:shd w:val="clear" w:color="auto" w:fill="E0E0E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  <w:lang w:val="en-US" w:eastAsia="zh-CN"/>
              </w:rPr>
              <w:t>价格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71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639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71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639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71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639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71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639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71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639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13888" w:type="dxa"/>
            <w:gridSpan w:val="8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评委签字：</w:t>
            </w:r>
          </w:p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备注：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服务工时评审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满分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 xml:space="preserve"> 20 分,评分方法如下：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各参选机构中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计划投入本项目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年度服务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总工时数量最多的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工时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为基准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服务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工时，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该机构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服务工时评审为满分。其他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参选机构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的服务工时得分按照下列公式计算：服务工时得分=（计划投入本项目服务总工时量/基准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服务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工时）×20（精确到0.01）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0" w:firstLineChars="300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价格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评审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满分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 xml:space="preserve"> 分,评分方法如下：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各参选机构中报价最小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价格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为基准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价格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该机构价格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评审为满分。其他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参选机构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价格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得分按照下列公式计算：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价格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得分=基准价格/机构报价×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（精确到0.01）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报价大小不一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致时，以大写报价为准。</w:t>
      </w:r>
    </w:p>
    <w:sectPr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zZDMzN2M0OWI1ODdhZGJiMzY5Mjk5YTRkZTUwZjEifQ=="/>
  </w:docVars>
  <w:rsids>
    <w:rsidRoot w:val="008A4494"/>
    <w:rsid w:val="000274AF"/>
    <w:rsid w:val="002F07BC"/>
    <w:rsid w:val="003445ED"/>
    <w:rsid w:val="00423A82"/>
    <w:rsid w:val="0043440D"/>
    <w:rsid w:val="005D3BE1"/>
    <w:rsid w:val="00767360"/>
    <w:rsid w:val="008A4494"/>
    <w:rsid w:val="009032C5"/>
    <w:rsid w:val="00A10F57"/>
    <w:rsid w:val="00B53B72"/>
    <w:rsid w:val="00CE188D"/>
    <w:rsid w:val="00D06640"/>
    <w:rsid w:val="00DB3CE6"/>
    <w:rsid w:val="044033CE"/>
    <w:rsid w:val="049976BF"/>
    <w:rsid w:val="04EA6754"/>
    <w:rsid w:val="052F03F1"/>
    <w:rsid w:val="065D60B3"/>
    <w:rsid w:val="09977011"/>
    <w:rsid w:val="0BBF3A15"/>
    <w:rsid w:val="0C9B40AB"/>
    <w:rsid w:val="10901380"/>
    <w:rsid w:val="11027750"/>
    <w:rsid w:val="160426B5"/>
    <w:rsid w:val="1B9325A0"/>
    <w:rsid w:val="1C0B472F"/>
    <w:rsid w:val="1CE133E6"/>
    <w:rsid w:val="1D7B7318"/>
    <w:rsid w:val="1EA86FD1"/>
    <w:rsid w:val="204E2804"/>
    <w:rsid w:val="228166C8"/>
    <w:rsid w:val="24491F2F"/>
    <w:rsid w:val="25952EA0"/>
    <w:rsid w:val="277A1B4B"/>
    <w:rsid w:val="28805783"/>
    <w:rsid w:val="2BA26A28"/>
    <w:rsid w:val="2F962B6A"/>
    <w:rsid w:val="308F50AD"/>
    <w:rsid w:val="31AE035B"/>
    <w:rsid w:val="33B61B1A"/>
    <w:rsid w:val="34C67031"/>
    <w:rsid w:val="36B85B9C"/>
    <w:rsid w:val="3836470B"/>
    <w:rsid w:val="3D832414"/>
    <w:rsid w:val="3F653FAD"/>
    <w:rsid w:val="4158638B"/>
    <w:rsid w:val="478875C4"/>
    <w:rsid w:val="47D66D76"/>
    <w:rsid w:val="489A2A47"/>
    <w:rsid w:val="4FF701EB"/>
    <w:rsid w:val="53351965"/>
    <w:rsid w:val="538A7ED3"/>
    <w:rsid w:val="552F008C"/>
    <w:rsid w:val="5BD76F79"/>
    <w:rsid w:val="5C3B2701"/>
    <w:rsid w:val="613A5C78"/>
    <w:rsid w:val="64E01D3C"/>
    <w:rsid w:val="66424CF0"/>
    <w:rsid w:val="6B257AFE"/>
    <w:rsid w:val="6F3978BB"/>
    <w:rsid w:val="6FB66E0D"/>
    <w:rsid w:val="70C013B5"/>
    <w:rsid w:val="744425E7"/>
    <w:rsid w:val="74531697"/>
    <w:rsid w:val="77464074"/>
    <w:rsid w:val="79127770"/>
    <w:rsid w:val="793D23B3"/>
    <w:rsid w:val="79E53AD9"/>
    <w:rsid w:val="7BA9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spacing w:before="340" w:after="330" w:line="578" w:lineRule="auto"/>
      <w:outlineLvl w:val="0"/>
    </w:pPr>
    <w:rPr>
      <w:kern w:val="44"/>
      <w:sz w:val="44"/>
      <w:szCs w:val="44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eastAsia="宋体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6">
    <w:name w:val="Balloon Text"/>
    <w:basedOn w:val="1"/>
    <w:link w:val="14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qFormat/>
    <w:uiPriority w:val="0"/>
    <w:rPr>
      <w:sz w:val="21"/>
      <w:szCs w:val="21"/>
    </w:rPr>
  </w:style>
  <w:style w:type="paragraph" w:customStyle="1" w:styleId="13">
    <w:name w:val="正文文本 (3)"/>
    <w:basedOn w:val="1"/>
    <w:qFormat/>
    <w:uiPriority w:val="0"/>
    <w:pPr>
      <w:shd w:val="clear" w:color="auto" w:fill="FFFFFF"/>
      <w:spacing w:before="540" w:after="240" w:line="240" w:lineRule="atLeast"/>
      <w:jc w:val="center"/>
    </w:pPr>
    <w:rPr>
      <w:rFonts w:ascii="微软雅黑" w:eastAsia="微软雅黑"/>
      <w:b/>
      <w:bCs/>
      <w:szCs w:val="21"/>
    </w:rPr>
  </w:style>
  <w:style w:type="character" w:customStyle="1" w:styleId="14">
    <w:name w:val="批注框文本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2332</Words>
  <Characters>2435</Characters>
  <Lines>24</Lines>
  <Paragraphs>6</Paragraphs>
  <TotalTime>2</TotalTime>
  <ScaleCrop>false</ScaleCrop>
  <LinksUpToDate>false</LinksUpToDate>
  <CharactersWithSpaces>2460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2021-08-07T15:26:00Z</dcterms:created>
  <dc:creator>Ultra</dc:creator>
  <cp:lastModifiedBy>周芯怡</cp:lastModifiedBy>
  <cp:lastPrinted>2021-08-09T02:44:00Z</cp:lastPrinted>
  <dcterms:modified xsi:type="dcterms:W3CDTF">2024-08-23T08:04:58Z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C0B123908D6442068FFEAC85BE2B338B</vt:lpwstr>
  </property>
</Properties>
</file>