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cs="宋体"/>
          <w:b/>
          <w:color w:val="auto"/>
          <w:sz w:val="24"/>
          <w:highlight w:val="none"/>
        </w:rPr>
      </w:pPr>
      <w:bookmarkStart w:id="0" w:name="_Toc132199654"/>
    </w:p>
    <w:p>
      <w:pPr>
        <w:pStyle w:val="6"/>
      </w:pPr>
    </w:p>
    <w:p>
      <w:pPr>
        <w:spacing w:line="360" w:lineRule="auto"/>
        <w:jc w:val="center"/>
        <w:rPr>
          <w:rFonts w:hint="eastAsia" w:ascii="宋体" w:hAnsi="宋体" w:cs="宋体"/>
          <w:b/>
          <w:bCs/>
          <w:color w:val="auto"/>
          <w:sz w:val="48"/>
          <w:szCs w:val="48"/>
          <w:highlight w:val="none"/>
          <w:shd w:val="clear" w:color="auto" w:fill="FFFFFF"/>
          <w:lang w:eastAsia="zh-CN"/>
        </w:rPr>
      </w:pPr>
      <w:r>
        <w:rPr>
          <w:rFonts w:hint="eastAsia" w:ascii="宋体" w:hAnsi="宋体" w:cs="宋体"/>
          <w:b/>
          <w:bCs/>
          <w:color w:val="auto"/>
          <w:sz w:val="48"/>
          <w:szCs w:val="48"/>
          <w:highlight w:val="none"/>
          <w:shd w:val="clear" w:color="auto" w:fill="FFFFFF"/>
          <w:lang w:eastAsia="zh-CN"/>
        </w:rPr>
        <w:t>大湾区中医康养片区老旧小区成片连片改造示范区项目全过程造价咨询</w:t>
      </w:r>
    </w:p>
    <w:p>
      <w:pPr>
        <w:spacing w:line="360" w:lineRule="auto"/>
        <w:jc w:val="center"/>
        <w:rPr>
          <w:rFonts w:ascii="宋体" w:hAnsi="宋体" w:cs="宋体"/>
          <w:b/>
          <w:bCs/>
          <w:color w:val="auto"/>
          <w:sz w:val="48"/>
          <w:szCs w:val="48"/>
          <w:highlight w:val="none"/>
          <w:shd w:val="clear" w:color="auto" w:fill="FFFFFF"/>
        </w:rPr>
      </w:pPr>
      <w:r>
        <w:rPr>
          <w:rFonts w:hint="eastAsia" w:ascii="宋体" w:hAnsi="宋体" w:cs="宋体"/>
          <w:b/>
          <w:bCs/>
          <w:color w:val="auto"/>
          <w:sz w:val="48"/>
          <w:szCs w:val="48"/>
          <w:highlight w:val="none"/>
          <w:shd w:val="clear" w:color="auto" w:fill="FFFFFF"/>
          <w:lang w:eastAsia="zh-CN"/>
        </w:rPr>
        <w:t>服务</w:t>
      </w:r>
      <w:r>
        <w:rPr>
          <w:rFonts w:hint="eastAsia" w:ascii="宋体" w:hAnsi="宋体" w:cs="宋体"/>
          <w:b/>
          <w:bCs/>
          <w:color w:val="auto"/>
          <w:sz w:val="48"/>
          <w:szCs w:val="48"/>
          <w:highlight w:val="none"/>
          <w:shd w:val="clear" w:color="auto" w:fill="FFFFFF"/>
        </w:rPr>
        <w:t>合同</w:t>
      </w:r>
    </w:p>
    <w:p>
      <w:pPr>
        <w:spacing w:line="480" w:lineRule="exact"/>
        <w:jc w:val="center"/>
        <w:rPr>
          <w:rFonts w:ascii="宋体" w:hAnsi="宋体" w:cs="宋体"/>
          <w:b/>
          <w:bCs/>
          <w:color w:val="auto"/>
          <w:sz w:val="48"/>
          <w:szCs w:val="48"/>
          <w:highlight w:val="none"/>
          <w:shd w:val="clear" w:color="auto" w:fill="FFFFFF"/>
        </w:rPr>
      </w:pPr>
    </w:p>
    <w:p>
      <w:pPr>
        <w:spacing w:line="480" w:lineRule="exact"/>
        <w:jc w:val="center"/>
        <w:rPr>
          <w:rFonts w:ascii="宋体" w:hAnsi="宋体"/>
          <w:b/>
          <w:bCs/>
          <w:color w:val="auto"/>
          <w:sz w:val="24"/>
          <w:highlight w:val="none"/>
        </w:rPr>
      </w:pPr>
    </w:p>
    <w:p>
      <w:pPr>
        <w:spacing w:line="48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合同编号：</w:t>
      </w:r>
    </w:p>
    <w:p>
      <w:pPr>
        <w:spacing w:line="480" w:lineRule="exact"/>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jc w:val="center"/>
        <w:rPr>
          <w:rFonts w:ascii="宋体" w:hAnsi="宋体"/>
          <w:b/>
          <w:bCs/>
          <w:color w:val="auto"/>
          <w:sz w:val="30"/>
          <w:highlight w:val="none"/>
        </w:rPr>
      </w:pPr>
    </w:p>
    <w:p>
      <w:pPr>
        <w:spacing w:line="480" w:lineRule="exact"/>
        <w:jc w:val="center"/>
        <w:rPr>
          <w:rFonts w:ascii="宋体" w:hAnsi="宋体"/>
          <w:b/>
          <w:bCs/>
          <w:color w:val="auto"/>
          <w:sz w:val="30"/>
          <w:highlight w:val="none"/>
        </w:rPr>
      </w:pPr>
    </w:p>
    <w:p>
      <w:pPr>
        <w:spacing w:line="480" w:lineRule="exact"/>
        <w:jc w:val="center"/>
        <w:rPr>
          <w:rFonts w:ascii="宋体" w:hAnsi="宋体"/>
          <w:b/>
          <w:bCs/>
          <w:color w:val="auto"/>
          <w:sz w:val="30"/>
          <w:highlight w:val="none"/>
        </w:rPr>
      </w:pPr>
    </w:p>
    <w:p>
      <w:pPr>
        <w:spacing w:line="480" w:lineRule="exact"/>
        <w:jc w:val="center"/>
        <w:rPr>
          <w:rFonts w:ascii="宋体" w:hAnsi="宋体"/>
          <w:b/>
          <w:bCs/>
          <w:color w:val="auto"/>
          <w:sz w:val="30"/>
          <w:highlight w:val="none"/>
        </w:rPr>
      </w:pPr>
    </w:p>
    <w:p>
      <w:pPr>
        <w:spacing w:line="480" w:lineRule="exact"/>
        <w:jc w:val="center"/>
        <w:rPr>
          <w:rFonts w:ascii="宋体" w:hAnsi="宋体"/>
          <w:b/>
          <w:color w:val="auto"/>
          <w:sz w:val="24"/>
          <w:highlight w:val="none"/>
        </w:rPr>
      </w:pPr>
    </w:p>
    <w:p>
      <w:pPr>
        <w:spacing w:line="480" w:lineRule="exact"/>
        <w:jc w:val="center"/>
        <w:rPr>
          <w:rFonts w:ascii="宋体" w:hAnsi="宋体"/>
          <w:b/>
          <w:color w:val="auto"/>
          <w:sz w:val="24"/>
          <w:highlight w:val="none"/>
        </w:rPr>
      </w:pPr>
    </w:p>
    <w:p>
      <w:pPr>
        <w:spacing w:line="480" w:lineRule="exact"/>
        <w:ind w:firstLine="236" w:firstLineChars="98"/>
        <w:rPr>
          <w:rFonts w:ascii="宋体" w:hAnsi="宋体"/>
          <w:b/>
          <w:color w:val="auto"/>
          <w:sz w:val="24"/>
          <w:highlight w:val="none"/>
        </w:rPr>
      </w:pPr>
    </w:p>
    <w:p>
      <w:pPr>
        <w:spacing w:line="480" w:lineRule="exact"/>
        <w:ind w:firstLine="236" w:firstLineChars="98"/>
        <w:rPr>
          <w:rFonts w:ascii="宋体" w:hAnsi="宋体"/>
          <w:b/>
          <w:color w:val="auto"/>
          <w:sz w:val="24"/>
          <w:highlight w:val="none"/>
        </w:rPr>
      </w:pPr>
    </w:p>
    <w:p>
      <w:pPr>
        <w:spacing w:line="480" w:lineRule="exact"/>
        <w:ind w:firstLine="236" w:firstLineChars="98"/>
        <w:rPr>
          <w:rFonts w:ascii="宋体" w:hAnsi="宋体"/>
          <w:b/>
          <w:color w:val="auto"/>
          <w:sz w:val="24"/>
          <w:highlight w:val="none"/>
        </w:rPr>
      </w:pPr>
    </w:p>
    <w:p>
      <w:pPr>
        <w:spacing w:line="480" w:lineRule="exact"/>
        <w:ind w:firstLine="236" w:firstLineChars="98"/>
        <w:rPr>
          <w:rFonts w:ascii="宋体" w:hAnsi="宋体"/>
          <w:b/>
          <w:color w:val="auto"/>
          <w:sz w:val="24"/>
          <w:highlight w:val="none"/>
        </w:rPr>
      </w:pPr>
    </w:p>
    <w:p>
      <w:pPr>
        <w:spacing w:line="480" w:lineRule="exact"/>
        <w:ind w:firstLine="1263" w:firstLineChars="393"/>
        <w:jc w:val="both"/>
        <w:rPr>
          <w:rFonts w:ascii="宋体" w:hAnsi="宋体" w:cs="仿宋_GB2312"/>
          <w:b/>
          <w:color w:val="auto"/>
          <w:sz w:val="32"/>
          <w:szCs w:val="32"/>
          <w:highlight w:val="none"/>
          <w:lang w:val="zh-CN"/>
        </w:rPr>
      </w:pPr>
      <w:r>
        <w:rPr>
          <w:rFonts w:hint="eastAsia" w:ascii="宋体" w:hAnsi="宋体"/>
          <w:b/>
          <w:color w:val="auto"/>
          <w:sz w:val="32"/>
          <w:szCs w:val="32"/>
          <w:highlight w:val="none"/>
        </w:rPr>
        <w:t>甲方（委托人）：</w:t>
      </w:r>
      <w:r>
        <w:rPr>
          <w:rFonts w:hint="eastAsia" w:ascii="宋体" w:hAnsi="宋体" w:cs="仿宋_GB2312"/>
          <w:b/>
          <w:color w:val="auto"/>
          <w:sz w:val="32"/>
          <w:szCs w:val="32"/>
          <w:highlight w:val="none"/>
          <w:lang w:val="zh-CN"/>
        </w:rPr>
        <w:t>广州市越秀区代建项目管理中心</w:t>
      </w:r>
    </w:p>
    <w:p>
      <w:pPr>
        <w:spacing w:line="480" w:lineRule="exact"/>
        <w:ind w:firstLine="1285" w:firstLineChars="400"/>
        <w:rPr>
          <w:rFonts w:ascii="宋体" w:hAnsi="宋体"/>
          <w:b/>
          <w:color w:val="auto"/>
          <w:spacing w:val="-20"/>
          <w:sz w:val="32"/>
          <w:szCs w:val="32"/>
          <w:highlight w:val="none"/>
        </w:rPr>
      </w:pPr>
      <w:r>
        <w:rPr>
          <w:rFonts w:hint="eastAsia" w:ascii="宋体" w:hAnsi="宋体"/>
          <w:b/>
          <w:color w:val="auto"/>
          <w:sz w:val="32"/>
          <w:szCs w:val="32"/>
          <w:highlight w:val="none"/>
        </w:rPr>
        <w:t>乙方（</w:t>
      </w:r>
      <w:r>
        <w:rPr>
          <w:rFonts w:hint="eastAsia" w:ascii="宋体" w:hAnsi="宋体" w:cs="仿宋_GB2312"/>
          <w:b/>
          <w:color w:val="auto"/>
          <w:sz w:val="32"/>
          <w:szCs w:val="32"/>
          <w:highlight w:val="none"/>
          <w:lang w:val="zh-CN"/>
        </w:rPr>
        <w:t>受托人）：</w:t>
      </w:r>
    </w:p>
    <w:p>
      <w:pPr>
        <w:pStyle w:val="10"/>
        <w:spacing w:before="0" w:beforeAutospacing="0" w:after="0" w:afterAutospacing="0" w:line="480" w:lineRule="exact"/>
        <w:jc w:val="center"/>
        <w:rPr>
          <w:b/>
          <w:bCs/>
          <w:color w:val="auto"/>
          <w:sz w:val="36"/>
          <w:szCs w:val="36"/>
          <w:highlight w:val="none"/>
        </w:rPr>
      </w:pPr>
      <w:r>
        <w:rPr>
          <w:b/>
          <w:bCs/>
          <w:color w:val="auto"/>
          <w:sz w:val="30"/>
          <w:highlight w:val="none"/>
        </w:rPr>
        <w:br w:type="page"/>
      </w:r>
      <w:r>
        <w:rPr>
          <w:rFonts w:hint="eastAsia"/>
          <w:b/>
          <w:bCs/>
          <w:color w:val="auto"/>
          <w:sz w:val="36"/>
          <w:szCs w:val="36"/>
          <w:highlight w:val="none"/>
        </w:rPr>
        <w:t>第一部分  合同协议书</w:t>
      </w:r>
    </w:p>
    <w:p>
      <w:pPr>
        <w:pStyle w:val="10"/>
        <w:spacing w:before="0" w:beforeAutospacing="0" w:after="0" w:afterAutospacing="0" w:line="480" w:lineRule="exact"/>
        <w:jc w:val="center"/>
        <w:rPr>
          <w:color w:val="auto"/>
          <w:highlight w:val="none"/>
        </w:rPr>
      </w:pPr>
    </w:p>
    <w:p>
      <w:pPr>
        <w:pStyle w:val="10"/>
        <w:spacing w:before="0" w:beforeAutospacing="0" w:after="0" w:afterAutospacing="0" w:line="480" w:lineRule="exact"/>
        <w:ind w:firstLine="482" w:firstLineChars="200"/>
        <w:rPr>
          <w:color w:val="auto"/>
          <w:highlight w:val="none"/>
        </w:rPr>
      </w:pPr>
      <w:r>
        <w:rPr>
          <w:rFonts w:hint="eastAsia"/>
          <w:b/>
          <w:color w:val="auto"/>
          <w:highlight w:val="none"/>
        </w:rPr>
        <w:t>广州市越秀区代建项目管理中心</w:t>
      </w:r>
      <w:r>
        <w:rPr>
          <w:rFonts w:hint="eastAsia"/>
          <w:color w:val="auto"/>
          <w:highlight w:val="none"/>
        </w:rPr>
        <w:t xml:space="preserve">（以下称甲方）与 </w:t>
      </w:r>
      <w:r>
        <w:rPr>
          <w:rFonts w:hint="eastAsia"/>
          <w:color w:val="auto"/>
          <w:highlight w:val="none"/>
          <w:u w:val="single"/>
        </w:rPr>
        <w:t xml:space="preserve"> </w:t>
      </w:r>
      <w:r>
        <w:rPr>
          <w:rFonts w:hint="eastAsia"/>
          <w:bCs/>
          <w:color w:val="auto"/>
          <w:highlight w:val="none"/>
          <w:u w:val="single"/>
        </w:rPr>
        <w:t xml:space="preserve">      </w:t>
      </w:r>
      <w:r>
        <w:rPr>
          <w:rFonts w:hint="eastAsia"/>
          <w:bCs/>
          <w:color w:val="auto"/>
          <w:highlight w:val="none"/>
        </w:rPr>
        <w:t>（</w:t>
      </w:r>
      <w:r>
        <w:rPr>
          <w:rFonts w:hint="eastAsia"/>
          <w:color w:val="auto"/>
          <w:highlight w:val="none"/>
        </w:rPr>
        <w:t>以下称乙方）依照《中华人民共和国民法典》、《中华人民共和国建筑法》及其它有关法律、法规的规定，遵循平等、自愿、公平和诚实信用的原则，就</w:t>
      </w:r>
      <w:r>
        <w:rPr>
          <w:rFonts w:hint="eastAsia"/>
          <w:color w:val="auto"/>
          <w:highlight w:val="none"/>
          <w:u w:val="single"/>
          <w:lang w:eastAsia="zh-CN"/>
        </w:rPr>
        <w:t>大湾区中医康养片区老旧小区成片连片改造示范区项目全过程造价咨询服务</w:t>
      </w:r>
      <w:r>
        <w:rPr>
          <w:rFonts w:hint="eastAsia"/>
          <w:color w:val="auto"/>
          <w:highlight w:val="none"/>
        </w:rPr>
        <w:t>事项协商一致，订立本合同。</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一、甲方委托乙方为以下项目提供建设工程造价咨询服务：</w:t>
      </w:r>
    </w:p>
    <w:p>
      <w:pPr>
        <w:pStyle w:val="10"/>
        <w:spacing w:before="0" w:beforeAutospacing="0" w:after="0" w:afterAutospacing="0" w:line="480" w:lineRule="exact"/>
        <w:ind w:firstLine="240" w:firstLineChars="100"/>
        <w:rPr>
          <w:rFonts w:hint="eastAsia" w:eastAsia="宋体"/>
          <w:color w:val="auto"/>
          <w:highlight w:val="none"/>
          <w:lang w:eastAsia="zh-CN"/>
        </w:rPr>
      </w:pPr>
      <w:r>
        <w:rPr>
          <w:rFonts w:hint="eastAsia"/>
          <w:color w:val="auto"/>
          <w:highlight w:val="none"/>
        </w:rPr>
        <w:t>（一）项目名称：</w:t>
      </w:r>
      <w:r>
        <w:rPr>
          <w:rFonts w:hint="eastAsia"/>
          <w:color w:val="auto"/>
          <w:highlight w:val="none"/>
          <w:u w:val="single"/>
          <w:lang w:eastAsia="zh-CN"/>
        </w:rPr>
        <w:t>大湾区中医康养片区老旧小区成片连片改造示范区项目全过程造价咨询服务</w:t>
      </w:r>
    </w:p>
    <w:p>
      <w:pPr>
        <w:pStyle w:val="10"/>
        <w:spacing w:before="0" w:beforeAutospacing="0" w:after="0" w:afterAutospacing="0" w:line="480" w:lineRule="exact"/>
        <w:ind w:firstLine="240" w:firstLineChars="100"/>
        <w:rPr>
          <w:color w:val="auto"/>
          <w:highlight w:val="none"/>
        </w:rPr>
      </w:pPr>
      <w:r>
        <w:rPr>
          <w:rFonts w:hint="eastAsia"/>
          <w:color w:val="auto"/>
          <w:highlight w:val="none"/>
        </w:rPr>
        <w:t>（二）项目地点：</w:t>
      </w:r>
      <w:r>
        <w:rPr>
          <w:rFonts w:hint="eastAsia" w:ascii="宋体" w:hAnsi="宋体" w:cs="宋体"/>
          <w:color w:val="auto"/>
          <w:sz w:val="24"/>
          <w:szCs w:val="24"/>
          <w:highlight w:val="none"/>
          <w:u w:val="single"/>
        </w:rPr>
        <w:t>广州市越秀区</w:t>
      </w:r>
      <w:r>
        <w:rPr>
          <w:rFonts w:hint="eastAsia" w:cs="宋体"/>
          <w:color w:val="auto"/>
          <w:sz w:val="24"/>
          <w:szCs w:val="24"/>
          <w:highlight w:val="none"/>
          <w:u w:val="single"/>
          <w:lang w:val="en-US" w:eastAsia="zh-CN"/>
        </w:rPr>
        <w:t>光塔街道</w:t>
      </w:r>
      <w:r>
        <w:rPr>
          <w:rFonts w:hint="eastAsia" w:ascii="宋体" w:hAnsi="宋体" w:cs="宋体"/>
          <w:color w:val="auto"/>
          <w:sz w:val="24"/>
          <w:szCs w:val="24"/>
          <w:highlight w:val="none"/>
          <w:u w:val="single"/>
        </w:rPr>
        <w:t>。</w:t>
      </w:r>
    </w:p>
    <w:p>
      <w:pPr>
        <w:pStyle w:val="10"/>
        <w:spacing w:before="0" w:beforeAutospacing="0" w:after="0" w:afterAutospacing="0" w:line="480" w:lineRule="exact"/>
        <w:ind w:firstLine="240" w:firstLineChars="100"/>
        <w:rPr>
          <w:color w:val="auto"/>
          <w:highlight w:val="none"/>
        </w:rPr>
      </w:pPr>
      <w:r>
        <w:rPr>
          <w:rFonts w:hint="eastAsia"/>
          <w:color w:val="auto"/>
          <w:highlight w:val="none"/>
        </w:rPr>
        <w:t>（三）项目规模、服务内容及合同价：</w:t>
      </w:r>
    </w:p>
    <w:p>
      <w:pPr>
        <w:pStyle w:val="10"/>
        <w:shd w:val="clear" w:color="auto" w:fill="FFFFFF"/>
        <w:spacing w:before="0" w:beforeAutospacing="0" w:after="0" w:afterAutospacing="0" w:line="460" w:lineRule="exact"/>
        <w:ind w:firstLine="480"/>
        <w:rPr>
          <w:color w:val="auto"/>
          <w:highlight w:val="none"/>
        </w:rPr>
      </w:pPr>
      <w:r>
        <w:rPr>
          <w:rFonts w:hint="eastAsia"/>
          <w:color w:val="auto"/>
          <w:highlight w:val="none"/>
        </w:rPr>
        <w:t>项目规模：</w:t>
      </w:r>
      <w:r>
        <w:rPr>
          <w:rFonts w:hint="eastAsia" w:ascii="宋体" w:hAnsi="宋体" w:cs="宋体"/>
          <w:color w:val="000000"/>
          <w:highlight w:val="none"/>
          <w:u w:val="none"/>
          <w:shd w:val="clear" w:color="auto" w:fill="FFFFFF"/>
          <w:lang w:val="en-US" w:eastAsia="zh-CN"/>
        </w:rPr>
        <w:t>大湾区中医康养片区老旧小区成片连片改造示范区位于越秀区光塔街道，研究范围西至人民高架路，北至惠福西路，东至解放中路，南至大德路、观绿路。研究范围内有广东省中医院、越秀区中西医结合医院、广州市妇女儿童医疗中心等医疗机构，总面积约31.3公顷。主要建设内容包括（1）市政公用工程：拆除现状铺装；重铺车行道花岗岩；重铺人行道；新建车止石，新增交通标线（热熔标线）；新建城市公共配套设施：新增整石坐凳、新建垃圾投放点、新建微型消防站；新增标识系统；新建口袋公园；（2）建筑工程：外立面提升，楼栋内部公共梯间提升；（3）给排水工程：新增装饰井盖；（4）绿化工程：道路沿线补充地被、灌木；（5）三线下地工程：包括但不限于供电管线、通信管线等强弱电；（具体以勘察设计任务书、最终设计图纸和发包人要求为准）。本项目总投资约3300万元，其中建筑安装工程费约2600万元。</w:t>
      </w:r>
    </w:p>
    <w:p>
      <w:pPr>
        <w:shd w:val="solid" w:color="FFFFFF" w:fill="auto"/>
        <w:autoSpaceDN w:val="0"/>
        <w:snapToGrid w:val="0"/>
        <w:spacing w:line="480" w:lineRule="exact"/>
        <w:ind w:firstLine="480" w:firstLineChars="200"/>
        <w:rPr>
          <w:rFonts w:ascii="宋体" w:hAnsi="宋体"/>
          <w:color w:val="auto"/>
          <w:sz w:val="24"/>
          <w:highlight w:val="none"/>
          <w:u w:val="single"/>
        </w:rPr>
      </w:pPr>
      <w:r>
        <w:rPr>
          <w:rFonts w:hint="eastAsia" w:ascii="宋体" w:hAnsi="宋体" w:cs="宋体"/>
          <w:color w:val="auto"/>
          <w:sz w:val="24"/>
          <w:szCs w:val="24"/>
          <w:highlight w:val="none"/>
        </w:rPr>
        <w:t>服务内容：</w:t>
      </w:r>
      <w:r>
        <w:rPr>
          <w:rFonts w:hint="eastAsia" w:ascii="宋体" w:hAnsi="宋体"/>
          <w:color w:val="auto"/>
          <w:kern w:val="0"/>
          <w:sz w:val="24"/>
          <w:highlight w:val="none"/>
          <w:u w:val="single"/>
        </w:rPr>
        <w:t>具体内容如下</w:t>
      </w:r>
      <w:r>
        <w:rPr>
          <w:rFonts w:hint="eastAsia" w:ascii="宋体" w:hAnsi="宋体"/>
          <w:color w:val="auto"/>
          <w:sz w:val="24"/>
          <w:highlight w:val="none"/>
          <w:u w:val="single"/>
        </w:rPr>
        <w:t>：</w:t>
      </w:r>
      <w:r>
        <w:rPr>
          <w:rFonts w:ascii="宋体" w:hAnsi="宋体"/>
          <w:color w:val="auto"/>
          <w:sz w:val="24"/>
          <w:highlight w:val="none"/>
          <w:u w:val="single"/>
        </w:rPr>
        <w:t xml:space="preserve"> </w:t>
      </w:r>
    </w:p>
    <w:tbl>
      <w:tblPr>
        <w:tblStyle w:val="15"/>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34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214" w:type="dxa"/>
            <w:gridSpan w:val="3"/>
            <w:noWrap w:val="0"/>
            <w:vAlign w:val="top"/>
          </w:tcPr>
          <w:p>
            <w:pPr>
              <w:shd w:val="clear" w:color="auto" w:fill="FFFFFF"/>
              <w:adjustRightInd w:val="0"/>
              <w:spacing w:line="360" w:lineRule="auto"/>
              <w:ind w:firstLine="442"/>
              <w:rPr>
                <w:rFonts w:ascii="宋体" w:hAnsi="宋体"/>
                <w:b/>
                <w:bCs/>
                <w:color w:val="auto"/>
                <w:kern w:val="0"/>
                <w:sz w:val="22"/>
                <w:szCs w:val="21"/>
                <w:highlight w:val="none"/>
                <w:u w:val="single"/>
              </w:rPr>
            </w:pPr>
            <w:r>
              <w:rPr>
                <w:rFonts w:hint="eastAsia" w:ascii="宋体" w:hAnsi="宋体"/>
                <w:b/>
                <w:bCs/>
                <w:color w:val="auto"/>
                <w:kern w:val="0"/>
                <w:sz w:val="22"/>
                <w:szCs w:val="21"/>
                <w:highlight w:val="none"/>
                <w:u w:val="single"/>
                <w:lang w:eastAsia="zh-CN"/>
              </w:rPr>
              <w:t>大湾区中医康养片区老旧小区成片连片改造示范区项目全过程造价咨询服务</w:t>
            </w:r>
            <w:r>
              <w:rPr>
                <w:rFonts w:hint="eastAsia" w:ascii="宋体" w:hAnsi="宋体"/>
                <w:b/>
                <w:bCs/>
                <w:color w:val="auto"/>
                <w:kern w:val="0"/>
                <w:sz w:val="22"/>
                <w:szCs w:val="21"/>
                <w:highlight w:val="none"/>
                <w:u w:val="single"/>
              </w:rPr>
              <w:t>工作任务表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63" w:type="dxa"/>
            <w:noWrap w:val="0"/>
            <w:vAlign w:val="top"/>
          </w:tcPr>
          <w:p>
            <w:pPr>
              <w:shd w:val="clear" w:color="auto" w:fill="FFFFFF"/>
              <w:adjustRightInd w:val="0"/>
              <w:spacing w:line="360" w:lineRule="auto"/>
              <w:jc w:val="center"/>
              <w:rPr>
                <w:rFonts w:ascii="宋体" w:hAnsi="宋体"/>
                <w:b/>
                <w:bCs/>
                <w:color w:val="auto"/>
                <w:kern w:val="0"/>
                <w:sz w:val="22"/>
                <w:szCs w:val="21"/>
                <w:highlight w:val="none"/>
                <w:u w:val="single"/>
              </w:rPr>
            </w:pPr>
            <w:r>
              <w:rPr>
                <w:rFonts w:hint="eastAsia" w:ascii="宋体" w:hAnsi="宋体"/>
                <w:b/>
                <w:bCs/>
                <w:color w:val="auto"/>
                <w:kern w:val="0"/>
                <w:sz w:val="22"/>
                <w:szCs w:val="21"/>
                <w:highlight w:val="none"/>
                <w:u w:val="single"/>
              </w:rPr>
              <w:t>序号</w:t>
            </w:r>
          </w:p>
        </w:tc>
        <w:tc>
          <w:tcPr>
            <w:tcW w:w="1347" w:type="dxa"/>
            <w:noWrap w:val="0"/>
            <w:vAlign w:val="top"/>
          </w:tcPr>
          <w:p>
            <w:pPr>
              <w:shd w:val="clear" w:color="auto" w:fill="FFFFFF"/>
              <w:adjustRightInd w:val="0"/>
              <w:spacing w:line="360" w:lineRule="auto"/>
              <w:rPr>
                <w:rFonts w:ascii="宋体" w:hAnsi="宋体"/>
                <w:b/>
                <w:bCs/>
                <w:color w:val="auto"/>
                <w:kern w:val="0"/>
                <w:sz w:val="22"/>
                <w:szCs w:val="21"/>
                <w:highlight w:val="none"/>
                <w:u w:val="single"/>
              </w:rPr>
            </w:pPr>
            <w:r>
              <w:rPr>
                <w:rFonts w:hint="eastAsia" w:ascii="宋体" w:hAnsi="宋体"/>
                <w:b/>
                <w:bCs/>
                <w:color w:val="auto"/>
                <w:kern w:val="0"/>
                <w:sz w:val="22"/>
                <w:szCs w:val="21"/>
                <w:highlight w:val="none"/>
                <w:u w:val="single"/>
              </w:rPr>
              <w:t>工作内容</w:t>
            </w:r>
          </w:p>
        </w:tc>
        <w:tc>
          <w:tcPr>
            <w:tcW w:w="6804" w:type="dxa"/>
            <w:noWrap w:val="0"/>
            <w:vAlign w:val="top"/>
          </w:tcPr>
          <w:p>
            <w:pPr>
              <w:shd w:val="clear" w:color="auto" w:fill="FFFFFF"/>
              <w:adjustRightInd w:val="0"/>
              <w:spacing w:line="360" w:lineRule="auto"/>
              <w:jc w:val="center"/>
              <w:rPr>
                <w:rFonts w:ascii="宋体" w:hAnsi="宋体"/>
                <w:b/>
                <w:bCs/>
                <w:color w:val="auto"/>
                <w:kern w:val="0"/>
                <w:sz w:val="22"/>
                <w:szCs w:val="21"/>
                <w:highlight w:val="none"/>
                <w:u w:val="single"/>
              </w:rPr>
            </w:pPr>
            <w:r>
              <w:rPr>
                <w:rFonts w:hint="eastAsia" w:ascii="宋体" w:hAnsi="宋体"/>
                <w:b/>
                <w:bCs/>
                <w:color w:val="auto"/>
                <w:kern w:val="0"/>
                <w:sz w:val="22"/>
                <w:szCs w:val="21"/>
                <w:highlight w:val="none"/>
                <w:u w:val="single"/>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063" w:type="dxa"/>
            <w:noWrap w:val="0"/>
            <w:vAlign w:val="top"/>
          </w:tcPr>
          <w:p>
            <w:pPr>
              <w:shd w:val="clear" w:color="auto" w:fill="FFFFFF"/>
              <w:adjustRightInd w:val="0"/>
              <w:spacing w:line="360" w:lineRule="auto"/>
              <w:ind w:left="-101" w:leftChars="-48" w:firstLine="440"/>
              <w:jc w:val="both"/>
              <w:rPr>
                <w:rFonts w:ascii="宋体" w:hAnsi="宋体"/>
                <w:color w:val="auto"/>
                <w:kern w:val="0"/>
                <w:sz w:val="22"/>
                <w:szCs w:val="21"/>
                <w:highlight w:val="none"/>
                <w:u w:val="single"/>
              </w:rPr>
            </w:pPr>
            <w:r>
              <w:rPr>
                <w:rFonts w:ascii="宋体" w:hAnsi="宋体"/>
                <w:color w:val="auto"/>
                <w:kern w:val="0"/>
                <w:sz w:val="22"/>
                <w:szCs w:val="21"/>
                <w:highlight w:val="none"/>
                <w:u w:val="single"/>
              </w:rPr>
              <w:t>1</w:t>
            </w:r>
          </w:p>
        </w:tc>
        <w:tc>
          <w:tcPr>
            <w:tcW w:w="1347" w:type="dxa"/>
            <w:noWrap w:val="0"/>
            <w:vAlign w:val="top"/>
          </w:tcPr>
          <w:p>
            <w:pPr>
              <w:shd w:val="clear" w:color="auto" w:fill="FFFFFF"/>
              <w:adjustRightInd w:val="0"/>
              <w:spacing w:line="360" w:lineRule="auto"/>
              <w:jc w:val="center"/>
              <w:rPr>
                <w:rFonts w:ascii="宋体" w:hAnsi="宋体"/>
                <w:b/>
                <w:bCs/>
                <w:color w:val="auto"/>
                <w:kern w:val="0"/>
                <w:sz w:val="22"/>
                <w:szCs w:val="21"/>
                <w:highlight w:val="none"/>
                <w:u w:val="single"/>
              </w:rPr>
            </w:pPr>
            <w:r>
              <w:rPr>
                <w:rFonts w:hint="eastAsia" w:ascii="宋体" w:hAnsi="宋体"/>
                <w:b/>
                <w:bCs/>
                <w:color w:val="auto"/>
                <w:kern w:val="0"/>
                <w:sz w:val="22"/>
                <w:szCs w:val="21"/>
                <w:highlight w:val="none"/>
                <w:u w:val="single"/>
              </w:rPr>
              <w:t>项目前期阶段</w:t>
            </w:r>
          </w:p>
        </w:tc>
        <w:tc>
          <w:tcPr>
            <w:tcW w:w="6804" w:type="dxa"/>
            <w:noWrap w:val="0"/>
            <w:vAlign w:val="top"/>
          </w:tcPr>
          <w:p>
            <w:pPr>
              <w:pStyle w:val="2"/>
              <w:numPr>
                <w:ilvl w:val="0"/>
                <w:numId w:val="0"/>
              </w:numPr>
              <w:spacing w:line="240" w:lineRule="auto"/>
              <w:rPr>
                <w:rFonts w:hint="eastAsia" w:ascii="宋体" w:hAnsi="宋体"/>
                <w:b w:val="0"/>
                <w:bCs w:val="0"/>
                <w:color w:val="auto"/>
                <w:kern w:val="0"/>
                <w:sz w:val="22"/>
                <w:szCs w:val="22"/>
                <w:highlight w:val="none"/>
                <w:u w:val="none"/>
              </w:rPr>
            </w:pPr>
            <w:r>
              <w:rPr>
                <w:rFonts w:hint="eastAsia" w:ascii="宋体" w:hAnsi="宋体"/>
                <w:b w:val="0"/>
                <w:bCs w:val="0"/>
                <w:color w:val="auto"/>
                <w:kern w:val="0"/>
                <w:sz w:val="22"/>
                <w:szCs w:val="22"/>
                <w:highlight w:val="none"/>
                <w:u w:val="none"/>
              </w:rPr>
              <w:t>施工图预算阶段</w:t>
            </w:r>
          </w:p>
          <w:p>
            <w:pPr>
              <w:pStyle w:val="2"/>
              <w:numPr>
                <w:ilvl w:val="0"/>
                <w:numId w:val="0"/>
              </w:numPr>
              <w:spacing w:line="240" w:lineRule="auto"/>
              <w:rPr>
                <w:rFonts w:hint="eastAsia" w:ascii="宋体" w:hAnsi="宋体"/>
                <w:b w:val="0"/>
                <w:bCs w:val="0"/>
                <w:color w:val="auto"/>
                <w:kern w:val="0"/>
                <w:sz w:val="22"/>
                <w:szCs w:val="22"/>
                <w:highlight w:val="none"/>
                <w:u w:val="none"/>
              </w:rPr>
            </w:pPr>
            <w:r>
              <w:rPr>
                <w:rFonts w:hint="eastAsia" w:ascii="宋体" w:hAnsi="宋体"/>
                <w:b w:val="0"/>
                <w:bCs w:val="0"/>
                <w:color w:val="auto"/>
                <w:kern w:val="0"/>
                <w:sz w:val="22"/>
                <w:szCs w:val="22"/>
                <w:highlight w:val="none"/>
                <w:u w:val="none"/>
              </w:rPr>
              <w:t>1.负责编制施工图预算（含设计图纸修改后调整相应预算），按招标人要求提交编制报告；</w:t>
            </w:r>
          </w:p>
          <w:p>
            <w:pPr>
              <w:pStyle w:val="2"/>
              <w:numPr>
                <w:ilvl w:val="0"/>
                <w:numId w:val="0"/>
              </w:numPr>
              <w:spacing w:line="240" w:lineRule="auto"/>
              <w:rPr>
                <w:rFonts w:hint="eastAsia" w:ascii="宋体" w:hAnsi="宋体"/>
                <w:b w:val="0"/>
                <w:bCs w:val="0"/>
                <w:color w:val="auto"/>
                <w:kern w:val="0"/>
                <w:sz w:val="22"/>
                <w:szCs w:val="22"/>
                <w:highlight w:val="none"/>
                <w:u w:val="none"/>
              </w:rPr>
            </w:pPr>
            <w:r>
              <w:rPr>
                <w:rFonts w:hint="eastAsia" w:ascii="宋体" w:hAnsi="宋体"/>
                <w:b w:val="0"/>
                <w:bCs w:val="0"/>
                <w:color w:val="auto"/>
                <w:kern w:val="0"/>
                <w:sz w:val="22"/>
                <w:szCs w:val="22"/>
                <w:highlight w:val="none"/>
                <w:u w:val="none"/>
              </w:rPr>
              <w:t>2.负责提交材料设备汇总表，对设计中采用的主材、设备等提供市场信息，提出优化建议。</w:t>
            </w:r>
          </w:p>
          <w:p>
            <w:pPr>
              <w:pStyle w:val="2"/>
              <w:numPr>
                <w:ilvl w:val="0"/>
                <w:numId w:val="0"/>
              </w:numPr>
              <w:spacing w:line="240" w:lineRule="auto"/>
              <w:rPr>
                <w:rFonts w:hint="eastAsia" w:ascii="宋体" w:hAnsi="宋体"/>
                <w:b w:val="0"/>
                <w:bCs w:val="0"/>
                <w:color w:val="auto"/>
                <w:kern w:val="0"/>
                <w:sz w:val="22"/>
                <w:szCs w:val="21"/>
                <w:highlight w:val="none"/>
                <w:u w:val="single"/>
                <w:lang w:val="en-US" w:eastAsia="zh-CN"/>
              </w:rPr>
            </w:pPr>
            <w:r>
              <w:rPr>
                <w:rFonts w:hint="eastAsia" w:ascii="宋体" w:hAnsi="宋体"/>
                <w:b w:val="0"/>
                <w:bCs w:val="0"/>
                <w:color w:val="auto"/>
                <w:kern w:val="0"/>
                <w:sz w:val="22"/>
                <w:szCs w:val="22"/>
                <w:highlight w:val="none"/>
                <w:u w:val="none"/>
              </w:rPr>
              <w:t>3.配合与施工图预算审核单位进行背靠背的核对相关成果文件。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63" w:type="dxa"/>
            <w:vMerge w:val="restart"/>
            <w:noWrap w:val="0"/>
            <w:vAlign w:val="top"/>
          </w:tcPr>
          <w:p>
            <w:pPr>
              <w:shd w:val="clear" w:color="auto" w:fill="FFFFFF"/>
              <w:adjustRightInd w:val="0"/>
              <w:spacing w:line="360" w:lineRule="auto"/>
              <w:ind w:left="-101" w:leftChars="-48" w:firstLine="440"/>
              <w:jc w:val="both"/>
              <w:rPr>
                <w:rFonts w:ascii="宋体" w:hAnsi="宋体"/>
                <w:color w:val="auto"/>
                <w:kern w:val="0"/>
                <w:sz w:val="22"/>
                <w:szCs w:val="21"/>
                <w:highlight w:val="none"/>
                <w:u w:val="single"/>
              </w:rPr>
            </w:pPr>
            <w:r>
              <w:rPr>
                <w:rFonts w:hint="eastAsia" w:ascii="宋体" w:hAnsi="宋体"/>
                <w:color w:val="auto"/>
                <w:kern w:val="0"/>
                <w:sz w:val="22"/>
                <w:szCs w:val="21"/>
                <w:highlight w:val="none"/>
                <w:u w:val="single"/>
                <w:lang w:val="en-US" w:eastAsia="zh-CN"/>
              </w:rPr>
              <w:t>2</w:t>
            </w:r>
          </w:p>
        </w:tc>
        <w:tc>
          <w:tcPr>
            <w:tcW w:w="1347" w:type="dxa"/>
            <w:vMerge w:val="restart"/>
            <w:noWrap w:val="0"/>
            <w:vAlign w:val="top"/>
          </w:tcPr>
          <w:p>
            <w:pPr>
              <w:shd w:val="clear" w:color="auto" w:fill="FFFFFF"/>
              <w:adjustRightInd w:val="0"/>
              <w:spacing w:line="360" w:lineRule="auto"/>
              <w:jc w:val="center"/>
              <w:rPr>
                <w:rFonts w:ascii="宋体" w:hAnsi="宋体"/>
                <w:b/>
                <w:bCs/>
                <w:color w:val="auto"/>
                <w:kern w:val="0"/>
                <w:sz w:val="22"/>
                <w:szCs w:val="21"/>
                <w:highlight w:val="none"/>
                <w:u w:val="single"/>
              </w:rPr>
            </w:pPr>
            <w:r>
              <w:rPr>
                <w:rFonts w:hint="eastAsia" w:ascii="宋体" w:hAnsi="宋体"/>
                <w:b/>
                <w:bCs/>
                <w:color w:val="auto"/>
                <w:kern w:val="0"/>
                <w:sz w:val="22"/>
                <w:szCs w:val="21"/>
                <w:highlight w:val="none"/>
                <w:u w:val="single"/>
              </w:rPr>
              <w:t>合同履行阶段</w:t>
            </w:r>
          </w:p>
        </w:tc>
        <w:tc>
          <w:tcPr>
            <w:tcW w:w="6804" w:type="dxa"/>
            <w:noWrap w:val="0"/>
            <w:vAlign w:val="top"/>
          </w:tcPr>
          <w:p>
            <w:pPr>
              <w:shd w:val="clear" w:color="auto" w:fill="FFFFFF"/>
              <w:adjustRightInd w:val="0"/>
              <w:spacing w:line="240" w:lineRule="auto"/>
              <w:rPr>
                <w:rFonts w:hint="eastAsia" w:ascii="宋体" w:hAnsi="宋体"/>
                <w:b w:val="0"/>
                <w:bCs w:val="0"/>
                <w:color w:val="auto"/>
                <w:kern w:val="0"/>
                <w:sz w:val="22"/>
                <w:szCs w:val="21"/>
                <w:highlight w:val="none"/>
                <w:u w:val="none"/>
              </w:rPr>
            </w:pPr>
            <w:r>
              <w:rPr>
                <w:rFonts w:hint="eastAsia" w:ascii="宋体" w:hAnsi="宋体"/>
                <w:b w:val="0"/>
                <w:bCs w:val="0"/>
                <w:color w:val="auto"/>
                <w:kern w:val="0"/>
                <w:sz w:val="22"/>
                <w:szCs w:val="21"/>
                <w:highlight w:val="none"/>
                <w:u w:val="none"/>
              </w:rPr>
              <w:t>合同价格调整管理</w:t>
            </w:r>
          </w:p>
          <w:p>
            <w:pPr>
              <w:shd w:val="clear" w:color="auto" w:fill="FFFFFF"/>
              <w:adjustRightInd w:val="0"/>
              <w:spacing w:line="240" w:lineRule="auto"/>
              <w:rPr>
                <w:rFonts w:ascii="宋体" w:hAnsi="宋体"/>
                <w:b/>
                <w:bCs/>
                <w:color w:val="auto"/>
                <w:kern w:val="0"/>
                <w:sz w:val="22"/>
                <w:szCs w:val="21"/>
                <w:highlight w:val="none"/>
                <w:u w:val="single"/>
              </w:rPr>
            </w:pPr>
            <w:r>
              <w:rPr>
                <w:rFonts w:hint="eastAsia" w:ascii="宋体" w:hAnsi="宋体"/>
                <w:b w:val="0"/>
                <w:bCs w:val="0"/>
                <w:color w:val="auto"/>
                <w:kern w:val="0"/>
                <w:sz w:val="22"/>
                <w:szCs w:val="21"/>
                <w:highlight w:val="none"/>
                <w:u w:val="none"/>
              </w:rPr>
              <w:t>1.负责施工过程造价控制（含编制方案及实施计划）包括但不限于负责主材单价、综合单价、变更签证等合同变更费用审核、检测监测费用编制或审核、图纸设计变更会签、材料设备看样定板会签、审核工程量与进度款等，必要时按招标人要求集中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1063" w:type="dxa"/>
            <w:vMerge w:val="continue"/>
            <w:noWrap w:val="0"/>
            <w:vAlign w:val="top"/>
          </w:tcPr>
          <w:p>
            <w:pPr>
              <w:shd w:val="clear" w:color="auto" w:fill="FFFFFF"/>
              <w:adjustRightInd w:val="0"/>
              <w:spacing w:line="360" w:lineRule="auto"/>
              <w:ind w:left="-101" w:leftChars="-48" w:firstLine="440"/>
              <w:jc w:val="center"/>
              <w:rPr>
                <w:rFonts w:ascii="宋体" w:hAnsi="宋体"/>
                <w:color w:val="auto"/>
                <w:kern w:val="0"/>
                <w:sz w:val="22"/>
                <w:szCs w:val="21"/>
                <w:highlight w:val="none"/>
                <w:u w:val="single"/>
              </w:rPr>
            </w:pPr>
          </w:p>
        </w:tc>
        <w:tc>
          <w:tcPr>
            <w:tcW w:w="1347" w:type="dxa"/>
            <w:vMerge w:val="continue"/>
            <w:noWrap w:val="0"/>
            <w:vAlign w:val="top"/>
          </w:tcPr>
          <w:p>
            <w:pPr>
              <w:shd w:val="clear" w:color="auto" w:fill="FFFFFF"/>
              <w:adjustRightInd w:val="0"/>
              <w:spacing w:line="360" w:lineRule="auto"/>
              <w:ind w:firstLine="442" w:firstLineChars="200"/>
              <w:rPr>
                <w:rFonts w:ascii="宋体" w:hAnsi="宋体"/>
                <w:b/>
                <w:bCs/>
                <w:color w:val="auto"/>
                <w:kern w:val="0"/>
                <w:sz w:val="22"/>
                <w:szCs w:val="21"/>
                <w:highlight w:val="none"/>
                <w:u w:val="single"/>
              </w:rPr>
            </w:pPr>
          </w:p>
        </w:tc>
        <w:tc>
          <w:tcPr>
            <w:tcW w:w="6804" w:type="dxa"/>
            <w:noWrap w:val="0"/>
            <w:vAlign w:val="top"/>
          </w:tcPr>
          <w:p>
            <w:pPr>
              <w:shd w:val="clear" w:color="auto" w:fill="FFFFFF"/>
              <w:adjustRightInd w:val="0"/>
              <w:spacing w:line="240" w:lineRule="auto"/>
              <w:rPr>
                <w:rFonts w:hint="eastAsia" w:ascii="宋体" w:hAnsi="宋体"/>
                <w:b w:val="0"/>
                <w:bCs w:val="0"/>
                <w:i w:val="0"/>
                <w:iCs w:val="0"/>
                <w:color w:val="auto"/>
                <w:kern w:val="0"/>
                <w:sz w:val="22"/>
                <w:szCs w:val="21"/>
                <w:highlight w:val="none"/>
                <w:u w:val="none"/>
              </w:rPr>
            </w:pPr>
            <w:r>
              <w:rPr>
                <w:rFonts w:hint="eastAsia" w:ascii="宋体" w:hAnsi="宋体"/>
                <w:b w:val="0"/>
                <w:bCs w:val="0"/>
                <w:i w:val="0"/>
                <w:iCs w:val="0"/>
                <w:color w:val="auto"/>
                <w:kern w:val="0"/>
                <w:sz w:val="22"/>
                <w:szCs w:val="21"/>
                <w:highlight w:val="none"/>
                <w:u w:val="none"/>
              </w:rPr>
              <w:t>造价动态管理</w:t>
            </w:r>
          </w:p>
          <w:p>
            <w:pPr>
              <w:shd w:val="clear" w:color="auto" w:fill="FFFFFF"/>
              <w:adjustRightInd w:val="0"/>
              <w:spacing w:line="240" w:lineRule="auto"/>
              <w:rPr>
                <w:rFonts w:hint="eastAsia" w:ascii="宋体" w:hAnsi="宋体"/>
                <w:b w:val="0"/>
                <w:bCs w:val="0"/>
                <w:i w:val="0"/>
                <w:iCs w:val="0"/>
                <w:color w:val="auto"/>
                <w:kern w:val="0"/>
                <w:sz w:val="22"/>
                <w:szCs w:val="21"/>
                <w:highlight w:val="none"/>
                <w:u w:val="none"/>
              </w:rPr>
            </w:pPr>
            <w:r>
              <w:rPr>
                <w:rFonts w:hint="eastAsia" w:ascii="宋体" w:hAnsi="宋体"/>
                <w:b w:val="0"/>
                <w:bCs w:val="0"/>
                <w:i w:val="0"/>
                <w:iCs w:val="0"/>
                <w:color w:val="auto"/>
                <w:kern w:val="0"/>
                <w:sz w:val="22"/>
                <w:szCs w:val="21"/>
                <w:highlight w:val="none"/>
                <w:u w:val="none"/>
              </w:rPr>
              <w:t>1.负责建立支付台账、工程变更管理台账、合同台账、动态投资台账、变更台账（按变更原因分类）、签证台账、动态投资台账等，负责每月提交工程结算价预估分析及投资控制报告，含项目整体资金使用情况、结算价预估分析、动态成本（须与目标成本对比分析偏差原因及解决方案建议）等；</w:t>
            </w:r>
          </w:p>
          <w:p>
            <w:pPr>
              <w:shd w:val="clear" w:color="auto" w:fill="FFFFFF"/>
              <w:adjustRightInd w:val="0"/>
              <w:spacing w:line="240" w:lineRule="auto"/>
              <w:rPr>
                <w:rFonts w:hint="eastAsia" w:ascii="宋体" w:hAnsi="宋体"/>
                <w:b w:val="0"/>
                <w:bCs w:val="0"/>
                <w:i w:val="0"/>
                <w:iCs w:val="0"/>
                <w:color w:val="auto"/>
                <w:kern w:val="0"/>
                <w:sz w:val="22"/>
                <w:szCs w:val="21"/>
                <w:highlight w:val="none"/>
                <w:u w:val="none"/>
              </w:rPr>
            </w:pPr>
            <w:r>
              <w:rPr>
                <w:rFonts w:hint="eastAsia" w:ascii="宋体" w:hAnsi="宋体"/>
                <w:b w:val="0"/>
                <w:bCs w:val="0"/>
                <w:i w:val="0"/>
                <w:iCs w:val="0"/>
                <w:color w:val="auto"/>
                <w:kern w:val="0"/>
                <w:sz w:val="22"/>
                <w:szCs w:val="21"/>
                <w:highlight w:val="none"/>
                <w:u w:val="none"/>
              </w:rPr>
              <w:t>2.定期召开造价控制会议，集中会审现场签证、工程变更的工程量和造价预算，确认变更价款。负责每月提交工程变更（包括：图纸会审、图纸修改、工程洽商等）对造价影响分析，及成本控制报告；</w:t>
            </w:r>
          </w:p>
          <w:p>
            <w:pPr>
              <w:shd w:val="clear" w:color="auto" w:fill="FFFFFF"/>
              <w:adjustRightInd w:val="0"/>
              <w:spacing w:line="240" w:lineRule="auto"/>
              <w:rPr>
                <w:rFonts w:hint="eastAsia" w:ascii="宋体" w:hAnsi="宋体"/>
                <w:b w:val="0"/>
                <w:bCs w:val="0"/>
                <w:i w:val="0"/>
                <w:iCs w:val="0"/>
                <w:color w:val="auto"/>
                <w:kern w:val="0"/>
                <w:sz w:val="22"/>
                <w:szCs w:val="21"/>
                <w:highlight w:val="none"/>
                <w:u w:val="none"/>
              </w:rPr>
            </w:pPr>
            <w:r>
              <w:rPr>
                <w:rFonts w:hint="eastAsia" w:ascii="宋体" w:hAnsi="宋体"/>
                <w:b w:val="0"/>
                <w:bCs w:val="0"/>
                <w:i w:val="0"/>
                <w:iCs w:val="0"/>
                <w:color w:val="auto"/>
                <w:kern w:val="0"/>
                <w:sz w:val="22"/>
                <w:szCs w:val="21"/>
                <w:highlight w:val="none"/>
                <w:u w:val="none"/>
              </w:rPr>
              <w:t>3.经常检查施工现场，掌握工程进展及变更的落实情况，为准确计量掌握真实资料。检查工程设计变更、施工现场签证手续是否合理、及时、完整、真实；</w:t>
            </w:r>
          </w:p>
          <w:p>
            <w:pPr>
              <w:shd w:val="clear" w:color="auto" w:fill="FFFFFF"/>
              <w:adjustRightInd w:val="0"/>
              <w:spacing w:line="240" w:lineRule="auto"/>
              <w:rPr>
                <w:rFonts w:hint="eastAsia" w:ascii="宋体" w:hAnsi="宋体"/>
                <w:b w:val="0"/>
                <w:bCs w:val="0"/>
                <w:i w:val="0"/>
                <w:iCs w:val="0"/>
                <w:color w:val="auto"/>
                <w:kern w:val="0"/>
                <w:sz w:val="22"/>
                <w:szCs w:val="21"/>
                <w:highlight w:val="none"/>
                <w:u w:val="none"/>
              </w:rPr>
            </w:pPr>
            <w:r>
              <w:rPr>
                <w:rFonts w:hint="eastAsia" w:ascii="宋体" w:hAnsi="宋体"/>
                <w:b w:val="0"/>
                <w:bCs w:val="0"/>
                <w:i w:val="0"/>
                <w:iCs w:val="0"/>
                <w:color w:val="auto"/>
                <w:kern w:val="0"/>
                <w:sz w:val="22"/>
                <w:szCs w:val="21"/>
                <w:highlight w:val="none"/>
                <w:u w:val="none"/>
              </w:rPr>
              <w:t>4.适时对施工现场进行查勘，核实有关设计变更及签证，及时了解工程情况并进行必要的拍照、摄像，留取证据，确保计量准确和审核完整真实；</w:t>
            </w:r>
          </w:p>
          <w:p>
            <w:pPr>
              <w:shd w:val="clear" w:color="auto" w:fill="FFFFFF"/>
              <w:adjustRightInd w:val="0"/>
              <w:spacing w:line="240" w:lineRule="auto"/>
              <w:rPr>
                <w:rFonts w:hint="eastAsia" w:ascii="宋体" w:hAnsi="宋体"/>
                <w:b w:val="0"/>
                <w:bCs w:val="0"/>
                <w:i w:val="0"/>
                <w:iCs w:val="0"/>
                <w:color w:val="auto"/>
                <w:kern w:val="0"/>
                <w:sz w:val="22"/>
                <w:szCs w:val="21"/>
                <w:highlight w:val="none"/>
                <w:u w:val="none"/>
              </w:rPr>
            </w:pPr>
            <w:r>
              <w:rPr>
                <w:rFonts w:hint="eastAsia" w:ascii="宋体" w:hAnsi="宋体"/>
                <w:b w:val="0"/>
                <w:bCs w:val="0"/>
                <w:i w:val="0"/>
                <w:iCs w:val="0"/>
                <w:color w:val="auto"/>
                <w:kern w:val="0"/>
                <w:sz w:val="22"/>
                <w:szCs w:val="21"/>
                <w:highlight w:val="none"/>
                <w:u w:val="none"/>
              </w:rPr>
              <w:t>5.制定项目总体投资进度计划，根据实际进度与每月实际投资和计划投资作分析比较，分析成本超支的原因和修正项目投资进度计划；</w:t>
            </w:r>
          </w:p>
          <w:p>
            <w:pPr>
              <w:shd w:val="clear" w:color="auto" w:fill="FFFFFF"/>
              <w:adjustRightInd w:val="0"/>
              <w:spacing w:line="240" w:lineRule="auto"/>
              <w:rPr>
                <w:rFonts w:hint="eastAsia" w:ascii="宋体" w:hAnsi="宋体"/>
                <w:b w:val="0"/>
                <w:bCs w:val="0"/>
                <w:i w:val="0"/>
                <w:iCs w:val="0"/>
                <w:color w:val="auto"/>
                <w:kern w:val="0"/>
                <w:sz w:val="22"/>
                <w:szCs w:val="21"/>
                <w:highlight w:val="none"/>
                <w:u w:val="none"/>
              </w:rPr>
            </w:pPr>
            <w:r>
              <w:rPr>
                <w:rFonts w:hint="eastAsia" w:ascii="宋体" w:hAnsi="宋体"/>
                <w:b w:val="0"/>
                <w:bCs w:val="0"/>
                <w:i w:val="0"/>
                <w:iCs w:val="0"/>
                <w:color w:val="auto"/>
                <w:kern w:val="0"/>
                <w:sz w:val="22"/>
                <w:szCs w:val="21"/>
                <w:highlight w:val="none"/>
                <w:u w:val="none"/>
              </w:rPr>
              <w:t>6.为招标人提供施工过程中出现新增项目的参考价格信息，负责定期收集和整理有关设备材料的市场价格动态信息，对施工方案、材料选用提供成本控制建议；</w:t>
            </w:r>
          </w:p>
          <w:p>
            <w:pPr>
              <w:shd w:val="clear" w:color="auto" w:fill="FFFFFF"/>
              <w:adjustRightInd w:val="0"/>
              <w:spacing w:line="240" w:lineRule="auto"/>
              <w:rPr>
                <w:rFonts w:hint="eastAsia" w:ascii="宋体" w:hAnsi="宋体"/>
                <w:b w:val="0"/>
                <w:bCs w:val="0"/>
                <w:i w:val="0"/>
                <w:iCs w:val="0"/>
                <w:color w:val="auto"/>
                <w:kern w:val="0"/>
                <w:sz w:val="22"/>
                <w:szCs w:val="21"/>
                <w:highlight w:val="none"/>
                <w:u w:val="none"/>
              </w:rPr>
            </w:pPr>
            <w:r>
              <w:rPr>
                <w:rFonts w:hint="eastAsia" w:ascii="宋体" w:hAnsi="宋体"/>
                <w:b w:val="0"/>
                <w:bCs w:val="0"/>
                <w:i w:val="0"/>
                <w:iCs w:val="0"/>
                <w:color w:val="auto"/>
                <w:kern w:val="0"/>
                <w:sz w:val="22"/>
                <w:szCs w:val="21"/>
                <w:highlight w:val="none"/>
                <w:u w:val="none"/>
              </w:rPr>
              <w:t>7.有预见性的提醒招标人控制投资，防范工期索赔，负责协助合同索赔处理，参加合同变更谈判，负责处理合同变更，向招标人提供专业评估意见及估算书；</w:t>
            </w:r>
          </w:p>
          <w:p>
            <w:pPr>
              <w:shd w:val="clear" w:color="auto" w:fill="FFFFFF"/>
              <w:adjustRightInd w:val="0"/>
              <w:spacing w:line="240" w:lineRule="auto"/>
              <w:rPr>
                <w:rFonts w:ascii="宋体" w:hAnsi="宋体"/>
                <w:color w:val="auto"/>
                <w:kern w:val="0"/>
                <w:sz w:val="22"/>
                <w:szCs w:val="21"/>
                <w:highlight w:val="none"/>
                <w:u w:val="single"/>
              </w:rPr>
            </w:pPr>
            <w:r>
              <w:rPr>
                <w:rFonts w:hint="eastAsia" w:ascii="宋体" w:hAnsi="宋体"/>
                <w:b w:val="0"/>
                <w:bCs w:val="0"/>
                <w:i w:val="0"/>
                <w:iCs w:val="0"/>
                <w:color w:val="auto"/>
                <w:kern w:val="0"/>
                <w:sz w:val="22"/>
                <w:szCs w:val="21"/>
                <w:highlight w:val="none"/>
                <w:u w:val="none"/>
              </w:rPr>
              <w:t>8.负责协助第三方的合同索赔处理，参加合同变更谈判，负责处理合同变更，维护业主的合法权益。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3" w:type="dxa"/>
            <w:vMerge w:val="continue"/>
            <w:noWrap w:val="0"/>
            <w:vAlign w:val="top"/>
          </w:tcPr>
          <w:p>
            <w:pPr>
              <w:shd w:val="clear" w:color="auto" w:fill="FFFFFF"/>
              <w:adjustRightInd w:val="0"/>
              <w:spacing w:line="360" w:lineRule="auto"/>
              <w:ind w:left="-101" w:leftChars="-48" w:firstLine="440"/>
              <w:jc w:val="center"/>
              <w:rPr>
                <w:rFonts w:ascii="宋体" w:hAnsi="宋体"/>
                <w:color w:val="auto"/>
                <w:kern w:val="0"/>
                <w:sz w:val="22"/>
                <w:szCs w:val="21"/>
                <w:highlight w:val="none"/>
                <w:u w:val="single"/>
              </w:rPr>
            </w:pPr>
          </w:p>
        </w:tc>
        <w:tc>
          <w:tcPr>
            <w:tcW w:w="1347" w:type="dxa"/>
            <w:vMerge w:val="continue"/>
            <w:noWrap w:val="0"/>
            <w:vAlign w:val="top"/>
          </w:tcPr>
          <w:p>
            <w:pPr>
              <w:shd w:val="clear" w:color="auto" w:fill="FFFFFF"/>
              <w:adjustRightInd w:val="0"/>
              <w:spacing w:line="360" w:lineRule="auto"/>
              <w:ind w:firstLine="442" w:firstLineChars="200"/>
              <w:rPr>
                <w:rFonts w:ascii="宋体" w:hAnsi="宋体"/>
                <w:b/>
                <w:bCs/>
                <w:color w:val="auto"/>
                <w:kern w:val="0"/>
                <w:sz w:val="22"/>
                <w:szCs w:val="21"/>
                <w:highlight w:val="none"/>
                <w:u w:val="single"/>
              </w:rPr>
            </w:pPr>
          </w:p>
        </w:tc>
        <w:tc>
          <w:tcPr>
            <w:tcW w:w="6804" w:type="dxa"/>
            <w:noWrap w:val="0"/>
            <w:vAlign w:val="top"/>
          </w:tcPr>
          <w:p>
            <w:pPr>
              <w:numPr>
                <w:ilvl w:val="0"/>
                <w:numId w:val="0"/>
              </w:numPr>
              <w:shd w:val="clear" w:color="auto" w:fill="FFFFFF"/>
              <w:adjustRightInd w:val="0"/>
              <w:spacing w:line="240" w:lineRule="auto"/>
              <w:ind w:leftChars="0"/>
              <w:rPr>
                <w:rFonts w:hint="eastAsia" w:ascii="宋体" w:hAnsi="宋体"/>
                <w:b w:val="0"/>
                <w:bCs w:val="0"/>
                <w:color w:val="auto"/>
                <w:kern w:val="0"/>
                <w:sz w:val="22"/>
                <w:szCs w:val="21"/>
                <w:highlight w:val="none"/>
                <w:u w:val="none"/>
              </w:rPr>
            </w:pPr>
            <w:r>
              <w:rPr>
                <w:rFonts w:hint="eastAsia" w:ascii="宋体" w:hAnsi="宋体"/>
                <w:b w:val="0"/>
                <w:bCs w:val="0"/>
                <w:color w:val="auto"/>
                <w:kern w:val="0"/>
                <w:sz w:val="22"/>
                <w:szCs w:val="21"/>
                <w:highlight w:val="none"/>
                <w:u w:val="none"/>
              </w:rPr>
              <w:t>结算管理</w:t>
            </w:r>
          </w:p>
          <w:p>
            <w:pPr>
              <w:numPr>
                <w:ilvl w:val="0"/>
                <w:numId w:val="0"/>
              </w:numPr>
              <w:shd w:val="clear" w:color="auto" w:fill="FFFFFF"/>
              <w:adjustRightInd w:val="0"/>
              <w:spacing w:line="240" w:lineRule="auto"/>
              <w:ind w:leftChars="0"/>
              <w:rPr>
                <w:rFonts w:hint="eastAsia" w:ascii="宋体" w:hAnsi="宋体"/>
                <w:b w:val="0"/>
                <w:bCs w:val="0"/>
                <w:color w:val="auto"/>
                <w:kern w:val="0"/>
                <w:sz w:val="22"/>
                <w:szCs w:val="21"/>
                <w:highlight w:val="none"/>
                <w:u w:val="none"/>
              </w:rPr>
            </w:pPr>
            <w:r>
              <w:rPr>
                <w:rFonts w:hint="eastAsia" w:ascii="宋体" w:hAnsi="宋体"/>
                <w:b w:val="0"/>
                <w:bCs w:val="0"/>
                <w:color w:val="auto"/>
                <w:kern w:val="0"/>
                <w:sz w:val="22"/>
                <w:szCs w:val="21"/>
                <w:highlight w:val="none"/>
                <w:u w:val="none"/>
              </w:rPr>
              <w:t>1.根据招标人要求积极推进竣工结算工作，编制竣工结算计划、竣工结算工作方案、提出竣工结算工作建议，建立结算台账；</w:t>
            </w:r>
          </w:p>
          <w:p>
            <w:pPr>
              <w:numPr>
                <w:ilvl w:val="0"/>
                <w:numId w:val="0"/>
              </w:numPr>
              <w:shd w:val="clear" w:color="auto" w:fill="FFFFFF"/>
              <w:adjustRightInd w:val="0"/>
              <w:spacing w:line="240" w:lineRule="auto"/>
              <w:ind w:leftChars="0"/>
              <w:rPr>
                <w:rFonts w:hint="eastAsia" w:ascii="宋体" w:hAnsi="宋体"/>
                <w:b w:val="0"/>
                <w:bCs w:val="0"/>
                <w:color w:val="auto"/>
                <w:kern w:val="0"/>
                <w:sz w:val="22"/>
                <w:szCs w:val="21"/>
                <w:highlight w:val="none"/>
                <w:u w:val="none"/>
              </w:rPr>
            </w:pPr>
            <w:r>
              <w:rPr>
                <w:rFonts w:hint="eastAsia" w:ascii="宋体" w:hAnsi="宋体"/>
                <w:b w:val="0"/>
                <w:bCs w:val="0"/>
                <w:color w:val="auto"/>
                <w:kern w:val="0"/>
                <w:sz w:val="22"/>
                <w:szCs w:val="21"/>
                <w:highlight w:val="none"/>
                <w:u w:val="none"/>
              </w:rPr>
              <w:t>2.负责收集和整理结算依据资料，负责组织过程结算；</w:t>
            </w:r>
          </w:p>
          <w:p>
            <w:pPr>
              <w:numPr>
                <w:ilvl w:val="0"/>
                <w:numId w:val="0"/>
              </w:numPr>
              <w:shd w:val="clear" w:color="auto" w:fill="FFFFFF"/>
              <w:adjustRightInd w:val="0"/>
              <w:spacing w:line="240" w:lineRule="auto"/>
              <w:ind w:leftChars="0"/>
              <w:rPr>
                <w:rFonts w:hint="eastAsia" w:ascii="宋体" w:hAnsi="宋体"/>
                <w:b w:val="0"/>
                <w:bCs w:val="0"/>
                <w:color w:val="auto"/>
                <w:kern w:val="0"/>
                <w:sz w:val="22"/>
                <w:szCs w:val="21"/>
                <w:highlight w:val="none"/>
                <w:u w:val="none"/>
              </w:rPr>
            </w:pPr>
            <w:r>
              <w:rPr>
                <w:rFonts w:hint="eastAsia" w:ascii="宋体" w:hAnsi="宋体"/>
                <w:b w:val="0"/>
                <w:bCs w:val="0"/>
                <w:color w:val="auto"/>
                <w:kern w:val="0"/>
                <w:sz w:val="22"/>
                <w:szCs w:val="21"/>
                <w:highlight w:val="none"/>
                <w:u w:val="none"/>
              </w:rPr>
              <w:t>3.负责审核结算依据资料，审核设计变更、签证资料依据是否正确、完整、合理；</w:t>
            </w:r>
          </w:p>
          <w:p>
            <w:pPr>
              <w:numPr>
                <w:ilvl w:val="0"/>
                <w:numId w:val="0"/>
              </w:numPr>
              <w:shd w:val="clear" w:color="auto" w:fill="FFFFFF"/>
              <w:adjustRightInd w:val="0"/>
              <w:spacing w:line="240" w:lineRule="auto"/>
              <w:ind w:leftChars="0"/>
              <w:rPr>
                <w:rFonts w:hint="eastAsia" w:ascii="宋体" w:hAnsi="宋体"/>
                <w:b w:val="0"/>
                <w:bCs w:val="0"/>
                <w:color w:val="auto"/>
                <w:kern w:val="0"/>
                <w:sz w:val="22"/>
                <w:szCs w:val="21"/>
                <w:highlight w:val="none"/>
                <w:u w:val="none"/>
              </w:rPr>
            </w:pPr>
            <w:r>
              <w:rPr>
                <w:rFonts w:hint="eastAsia" w:ascii="宋体" w:hAnsi="宋体"/>
                <w:b w:val="0"/>
                <w:bCs w:val="0"/>
                <w:color w:val="auto"/>
                <w:kern w:val="0"/>
                <w:sz w:val="22"/>
                <w:szCs w:val="21"/>
                <w:highlight w:val="none"/>
                <w:u w:val="none"/>
              </w:rPr>
              <w:t>4.负责工程结算初审工作，提交结算初审报告；</w:t>
            </w:r>
          </w:p>
          <w:p>
            <w:pPr>
              <w:numPr>
                <w:ilvl w:val="0"/>
                <w:numId w:val="0"/>
              </w:numPr>
              <w:shd w:val="clear" w:color="auto" w:fill="FFFFFF"/>
              <w:adjustRightInd w:val="0"/>
              <w:spacing w:line="240" w:lineRule="auto"/>
              <w:ind w:leftChars="0"/>
              <w:rPr>
                <w:rFonts w:hint="eastAsia" w:ascii="宋体" w:hAnsi="宋体"/>
                <w:b w:val="0"/>
                <w:bCs w:val="0"/>
                <w:color w:val="auto"/>
                <w:kern w:val="0"/>
                <w:sz w:val="22"/>
                <w:szCs w:val="21"/>
                <w:highlight w:val="none"/>
                <w:u w:val="none"/>
              </w:rPr>
            </w:pPr>
            <w:r>
              <w:rPr>
                <w:rFonts w:hint="eastAsia" w:ascii="宋体" w:hAnsi="宋体"/>
                <w:b w:val="0"/>
                <w:bCs w:val="0"/>
                <w:color w:val="auto"/>
                <w:kern w:val="0"/>
                <w:sz w:val="22"/>
                <w:szCs w:val="21"/>
                <w:highlight w:val="none"/>
                <w:u w:val="none"/>
              </w:rPr>
              <w:t>5.负责送审结算初步审核、广州市越秀区财政局或项目业主及或相关部门不评审的合同结算评审，要求收到承建（服务）单位报送的结算文件后按甲方要求的时间（即施工类合同30日内，非施工类合同10日内）出具结算审核报告；</w:t>
            </w:r>
          </w:p>
          <w:p>
            <w:pPr>
              <w:numPr>
                <w:ilvl w:val="0"/>
                <w:numId w:val="0"/>
              </w:numPr>
              <w:shd w:val="clear" w:color="auto" w:fill="FFFFFF"/>
              <w:adjustRightInd w:val="0"/>
              <w:spacing w:line="240" w:lineRule="auto"/>
              <w:ind w:leftChars="0"/>
              <w:rPr>
                <w:rFonts w:hint="eastAsia" w:ascii="宋体" w:hAnsi="宋体"/>
                <w:b w:val="0"/>
                <w:bCs w:val="0"/>
                <w:color w:val="auto"/>
                <w:kern w:val="0"/>
                <w:sz w:val="22"/>
                <w:szCs w:val="21"/>
                <w:highlight w:val="none"/>
                <w:u w:val="none"/>
              </w:rPr>
            </w:pPr>
            <w:r>
              <w:rPr>
                <w:rFonts w:hint="eastAsia" w:ascii="宋体" w:hAnsi="宋体"/>
                <w:b w:val="0"/>
                <w:bCs w:val="0"/>
                <w:color w:val="auto"/>
                <w:kern w:val="0"/>
                <w:sz w:val="22"/>
                <w:szCs w:val="21"/>
                <w:highlight w:val="none"/>
                <w:u w:val="none"/>
              </w:rPr>
              <w:t>6.配合工程决算工作和结算定审；</w:t>
            </w:r>
          </w:p>
          <w:p>
            <w:pPr>
              <w:numPr>
                <w:ilvl w:val="0"/>
                <w:numId w:val="0"/>
              </w:numPr>
              <w:shd w:val="clear" w:color="auto" w:fill="FFFFFF"/>
              <w:adjustRightInd w:val="0"/>
              <w:spacing w:line="240" w:lineRule="auto"/>
              <w:ind w:leftChars="0"/>
              <w:rPr>
                <w:rFonts w:ascii="宋体" w:hAnsi="宋体"/>
                <w:b/>
                <w:bCs/>
                <w:color w:val="auto"/>
                <w:kern w:val="0"/>
                <w:sz w:val="22"/>
                <w:szCs w:val="21"/>
                <w:highlight w:val="none"/>
                <w:u w:val="single"/>
              </w:rPr>
            </w:pPr>
            <w:r>
              <w:rPr>
                <w:rFonts w:hint="eastAsia" w:ascii="宋体" w:hAnsi="宋体"/>
                <w:b w:val="0"/>
                <w:bCs w:val="0"/>
                <w:color w:val="auto"/>
                <w:kern w:val="0"/>
                <w:sz w:val="22"/>
                <w:szCs w:val="21"/>
                <w:highlight w:val="none"/>
                <w:u w:val="none"/>
              </w:rPr>
              <w:t>7.配合相关部门对本工程的审计工作并提供相关资料。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1063" w:type="dxa"/>
            <w:noWrap w:val="0"/>
            <w:vAlign w:val="top"/>
          </w:tcPr>
          <w:p>
            <w:pPr>
              <w:shd w:val="clear" w:color="auto" w:fill="FFFFFF"/>
              <w:adjustRightInd w:val="0"/>
              <w:spacing w:line="360" w:lineRule="auto"/>
              <w:ind w:left="-101" w:leftChars="-48" w:firstLine="440"/>
              <w:jc w:val="both"/>
              <w:rPr>
                <w:rFonts w:ascii="宋体" w:hAnsi="宋体"/>
                <w:color w:val="auto"/>
                <w:kern w:val="0"/>
                <w:sz w:val="22"/>
                <w:szCs w:val="21"/>
                <w:highlight w:val="none"/>
                <w:u w:val="single"/>
              </w:rPr>
            </w:pPr>
            <w:r>
              <w:rPr>
                <w:rFonts w:hint="eastAsia" w:ascii="宋体" w:hAnsi="宋体"/>
                <w:color w:val="auto"/>
                <w:kern w:val="0"/>
                <w:sz w:val="22"/>
                <w:szCs w:val="21"/>
                <w:highlight w:val="none"/>
                <w:u w:val="single"/>
                <w:lang w:val="en-US" w:eastAsia="zh-CN"/>
              </w:rPr>
              <w:t>3</w:t>
            </w:r>
          </w:p>
        </w:tc>
        <w:tc>
          <w:tcPr>
            <w:tcW w:w="1347" w:type="dxa"/>
            <w:noWrap w:val="0"/>
            <w:vAlign w:val="top"/>
          </w:tcPr>
          <w:p>
            <w:pPr>
              <w:shd w:val="clear" w:color="auto" w:fill="FFFFFF"/>
              <w:adjustRightInd w:val="0"/>
              <w:spacing w:line="360" w:lineRule="auto"/>
              <w:jc w:val="center"/>
              <w:rPr>
                <w:rFonts w:ascii="宋体" w:hAnsi="宋体"/>
                <w:b/>
                <w:bCs/>
                <w:color w:val="auto"/>
                <w:kern w:val="0"/>
                <w:sz w:val="22"/>
                <w:szCs w:val="21"/>
                <w:highlight w:val="none"/>
                <w:u w:val="single"/>
              </w:rPr>
            </w:pPr>
            <w:r>
              <w:rPr>
                <w:rFonts w:hint="eastAsia" w:ascii="宋体" w:hAnsi="宋体"/>
                <w:b/>
                <w:bCs/>
                <w:color w:val="auto"/>
                <w:kern w:val="0"/>
                <w:sz w:val="22"/>
                <w:szCs w:val="21"/>
                <w:highlight w:val="none"/>
                <w:u w:val="single"/>
              </w:rPr>
              <w:t>其他工作</w:t>
            </w:r>
          </w:p>
        </w:tc>
        <w:tc>
          <w:tcPr>
            <w:tcW w:w="6804" w:type="dxa"/>
            <w:noWrap w:val="0"/>
            <w:vAlign w:val="top"/>
          </w:tcPr>
          <w:p>
            <w:pPr>
              <w:pStyle w:val="2"/>
              <w:numPr>
                <w:ilvl w:val="0"/>
                <w:numId w:val="0"/>
              </w:numPr>
              <w:rPr>
                <w:rFonts w:hint="eastAsia"/>
                <w:color w:val="auto"/>
                <w:sz w:val="22"/>
                <w:highlight w:val="none"/>
                <w:u w:val="none"/>
                <w:lang w:val="en-US" w:eastAsia="zh-CN"/>
              </w:rPr>
            </w:pPr>
            <w:r>
              <w:rPr>
                <w:rFonts w:hint="eastAsia"/>
                <w:color w:val="auto"/>
                <w:sz w:val="22"/>
                <w:highlight w:val="none"/>
                <w:u w:val="none"/>
                <w:lang w:val="en-US" w:eastAsia="zh-CN"/>
              </w:rPr>
              <w:t>1.负责组织相关造价控制评审会议，包括邀请相应的经济专家，邀请高级经济顾问对造价问题进行咨询把关。</w:t>
            </w:r>
          </w:p>
          <w:p>
            <w:pPr>
              <w:pStyle w:val="2"/>
              <w:numPr>
                <w:ilvl w:val="0"/>
                <w:numId w:val="0"/>
              </w:numPr>
              <w:rPr>
                <w:rFonts w:hint="eastAsia"/>
                <w:color w:val="auto"/>
                <w:sz w:val="22"/>
                <w:highlight w:val="none"/>
                <w:u w:val="none"/>
                <w:lang w:val="en-US" w:eastAsia="zh-CN"/>
              </w:rPr>
            </w:pPr>
            <w:r>
              <w:rPr>
                <w:rFonts w:hint="eastAsia"/>
                <w:color w:val="auto"/>
                <w:sz w:val="22"/>
                <w:highlight w:val="none"/>
                <w:u w:val="none"/>
                <w:lang w:val="en-US" w:eastAsia="zh-CN"/>
              </w:rPr>
              <w:t>2.参与设计方案论证会议、技术经济方案比选、变更论证等专题会，提出造价专业意见；督促落实各阶段、各专业工程造价限额设计量化指标；</w:t>
            </w:r>
          </w:p>
          <w:p>
            <w:pPr>
              <w:pStyle w:val="2"/>
              <w:numPr>
                <w:ilvl w:val="0"/>
                <w:numId w:val="0"/>
              </w:numPr>
              <w:rPr>
                <w:rFonts w:hint="eastAsia"/>
                <w:color w:val="auto"/>
                <w:sz w:val="22"/>
                <w:highlight w:val="none"/>
                <w:u w:val="none"/>
                <w:lang w:val="en-US" w:eastAsia="zh-CN"/>
              </w:rPr>
            </w:pPr>
            <w:r>
              <w:rPr>
                <w:rFonts w:hint="eastAsia"/>
                <w:color w:val="auto"/>
                <w:sz w:val="22"/>
                <w:highlight w:val="none"/>
                <w:u w:val="none"/>
                <w:lang w:val="en-US" w:eastAsia="zh-CN"/>
              </w:rPr>
              <w:t>3.负责按招标人要求编制各类造价管理文件及限价计算文件；</w:t>
            </w:r>
          </w:p>
          <w:p>
            <w:pPr>
              <w:pStyle w:val="2"/>
              <w:numPr>
                <w:ilvl w:val="0"/>
                <w:numId w:val="0"/>
              </w:numPr>
              <w:rPr>
                <w:rFonts w:hint="eastAsia"/>
                <w:color w:val="auto"/>
                <w:sz w:val="22"/>
                <w:highlight w:val="none"/>
                <w:u w:val="none"/>
                <w:lang w:val="en-US" w:eastAsia="zh-CN"/>
              </w:rPr>
            </w:pPr>
            <w:r>
              <w:rPr>
                <w:rFonts w:hint="eastAsia"/>
                <w:color w:val="auto"/>
                <w:sz w:val="22"/>
                <w:highlight w:val="none"/>
                <w:u w:val="none"/>
                <w:lang w:val="en-US" w:eastAsia="zh-CN"/>
              </w:rPr>
              <w:t>4.项目资料归档完整，定期接受招标人检查。</w:t>
            </w:r>
          </w:p>
          <w:p>
            <w:pPr>
              <w:pStyle w:val="2"/>
              <w:numPr>
                <w:ilvl w:val="0"/>
                <w:numId w:val="0"/>
              </w:numPr>
              <w:rPr>
                <w:rFonts w:hint="eastAsia"/>
                <w:color w:val="auto"/>
                <w:sz w:val="22"/>
                <w:highlight w:val="none"/>
                <w:u w:val="none"/>
                <w:lang w:val="en-US" w:eastAsia="zh-CN"/>
              </w:rPr>
            </w:pPr>
            <w:r>
              <w:rPr>
                <w:rFonts w:hint="eastAsia"/>
                <w:color w:val="auto"/>
                <w:sz w:val="22"/>
                <w:highlight w:val="none"/>
                <w:u w:val="none"/>
                <w:lang w:val="en-US" w:eastAsia="zh-CN"/>
              </w:rPr>
              <w:t>5.配合招标人审核各类委托合同、顾问合同、咨询合同、服务合同及监理合同等合同费用设定和结算审核。</w:t>
            </w:r>
          </w:p>
          <w:p>
            <w:pPr>
              <w:pStyle w:val="2"/>
              <w:numPr>
                <w:ilvl w:val="0"/>
                <w:numId w:val="0"/>
              </w:numPr>
              <w:rPr>
                <w:rFonts w:hint="eastAsia"/>
                <w:color w:val="auto"/>
                <w:sz w:val="22"/>
                <w:highlight w:val="none"/>
                <w:u w:val="none"/>
                <w:lang w:val="en-US" w:eastAsia="zh-CN"/>
              </w:rPr>
            </w:pPr>
            <w:r>
              <w:rPr>
                <w:rFonts w:hint="eastAsia"/>
                <w:color w:val="auto"/>
                <w:sz w:val="22"/>
                <w:highlight w:val="none"/>
                <w:u w:val="none"/>
                <w:lang w:val="en-US" w:eastAsia="zh-CN"/>
              </w:rPr>
              <w:t>6.配合招标人编制详细的工程成本预测和资金流量预测分析，以作为进度和成本控制的目标；随设计的深入定期分析工程成本、定期修正资金流量预测；</w:t>
            </w:r>
          </w:p>
          <w:p>
            <w:pPr>
              <w:pStyle w:val="2"/>
              <w:numPr>
                <w:ilvl w:val="0"/>
                <w:numId w:val="0"/>
              </w:numPr>
              <w:rPr>
                <w:rFonts w:hint="eastAsia"/>
                <w:color w:val="auto"/>
                <w:sz w:val="22"/>
                <w:highlight w:val="none"/>
                <w:u w:val="none"/>
                <w:lang w:val="en-US" w:eastAsia="zh-CN"/>
              </w:rPr>
            </w:pPr>
            <w:r>
              <w:rPr>
                <w:rFonts w:hint="eastAsia"/>
                <w:color w:val="auto"/>
                <w:sz w:val="22"/>
                <w:highlight w:val="none"/>
                <w:u w:val="none"/>
                <w:lang w:val="en-US" w:eastAsia="zh-CN"/>
              </w:rPr>
              <w:t>7.招标人自行采购的设备、材料等采购工作的询价、审价、结算等相关工作。</w:t>
            </w:r>
          </w:p>
          <w:p>
            <w:pPr>
              <w:pStyle w:val="2"/>
              <w:numPr>
                <w:ilvl w:val="0"/>
                <w:numId w:val="0"/>
              </w:numPr>
              <w:rPr>
                <w:rFonts w:hint="eastAsia"/>
                <w:color w:val="auto"/>
                <w:sz w:val="22"/>
                <w:highlight w:val="none"/>
                <w:u w:val="none"/>
                <w:lang w:val="en-US" w:eastAsia="zh-CN"/>
              </w:rPr>
            </w:pPr>
            <w:r>
              <w:rPr>
                <w:rFonts w:hint="eastAsia"/>
                <w:color w:val="auto"/>
                <w:sz w:val="22"/>
                <w:highlight w:val="none"/>
                <w:u w:val="none"/>
                <w:lang w:val="en-US" w:eastAsia="zh-CN"/>
              </w:rPr>
              <w:t>8.招标人安排的其他造价管理工作，如投资匡算、培训等；</w:t>
            </w:r>
          </w:p>
          <w:p>
            <w:pPr>
              <w:pStyle w:val="2"/>
              <w:numPr>
                <w:ilvl w:val="0"/>
                <w:numId w:val="0"/>
              </w:numPr>
              <w:rPr>
                <w:rFonts w:hint="eastAsia"/>
                <w:color w:val="auto"/>
                <w:sz w:val="22"/>
                <w:highlight w:val="none"/>
                <w:u w:val="none"/>
                <w:lang w:val="en-US" w:eastAsia="zh-CN"/>
              </w:rPr>
            </w:pPr>
            <w:r>
              <w:rPr>
                <w:rFonts w:hint="eastAsia"/>
                <w:color w:val="auto"/>
                <w:sz w:val="22"/>
                <w:highlight w:val="none"/>
                <w:u w:val="none"/>
                <w:lang w:val="en-US" w:eastAsia="zh-CN"/>
              </w:rPr>
              <w:t>9.协助招标人处理各类合同纠纷。</w:t>
            </w:r>
          </w:p>
          <w:p>
            <w:pPr>
              <w:pStyle w:val="2"/>
              <w:numPr>
                <w:ilvl w:val="0"/>
                <w:numId w:val="0"/>
              </w:numPr>
              <w:rPr>
                <w:rFonts w:hint="eastAsia"/>
                <w:color w:val="auto"/>
                <w:sz w:val="22"/>
                <w:highlight w:val="none"/>
                <w:u w:val="none"/>
                <w:lang w:val="en-US" w:eastAsia="zh-CN"/>
              </w:rPr>
            </w:pPr>
            <w:r>
              <w:rPr>
                <w:rFonts w:hint="eastAsia"/>
                <w:color w:val="auto"/>
                <w:sz w:val="22"/>
                <w:highlight w:val="none"/>
                <w:u w:val="none"/>
                <w:lang w:val="en-US" w:eastAsia="zh-CN"/>
              </w:rPr>
              <w:t>10.设计费、监理费和检测监测费等二类费用审核；</w:t>
            </w:r>
          </w:p>
          <w:p>
            <w:pPr>
              <w:pStyle w:val="2"/>
              <w:numPr>
                <w:ilvl w:val="0"/>
                <w:numId w:val="0"/>
              </w:numPr>
              <w:rPr>
                <w:color w:val="auto"/>
                <w:highlight w:val="none"/>
              </w:rPr>
            </w:pPr>
            <w:r>
              <w:rPr>
                <w:rFonts w:hint="eastAsia"/>
                <w:color w:val="auto"/>
                <w:sz w:val="22"/>
                <w:highlight w:val="none"/>
                <w:u w:val="none"/>
                <w:lang w:val="en-US" w:eastAsia="zh-CN"/>
              </w:rPr>
              <w:t>11.按要求配合项目审计工作。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063" w:type="dxa"/>
            <w:noWrap w:val="0"/>
            <w:vAlign w:val="top"/>
          </w:tcPr>
          <w:p>
            <w:pPr>
              <w:shd w:val="clear" w:color="auto" w:fill="FFFFFF"/>
              <w:adjustRightInd w:val="0"/>
              <w:spacing w:line="360" w:lineRule="auto"/>
              <w:ind w:left="-101" w:leftChars="-48" w:firstLine="440"/>
              <w:jc w:val="both"/>
              <w:rPr>
                <w:rFonts w:ascii="宋体" w:hAnsi="宋体"/>
                <w:color w:val="auto"/>
                <w:kern w:val="0"/>
                <w:sz w:val="22"/>
                <w:szCs w:val="21"/>
                <w:highlight w:val="none"/>
                <w:u w:val="single"/>
              </w:rPr>
            </w:pPr>
            <w:r>
              <w:rPr>
                <w:rFonts w:hint="eastAsia" w:ascii="宋体" w:hAnsi="宋体"/>
                <w:color w:val="auto"/>
                <w:kern w:val="0"/>
                <w:sz w:val="22"/>
                <w:szCs w:val="21"/>
                <w:highlight w:val="none"/>
                <w:u w:val="single"/>
                <w:lang w:val="en-US" w:eastAsia="zh-CN"/>
              </w:rPr>
              <w:t>4</w:t>
            </w:r>
          </w:p>
        </w:tc>
        <w:tc>
          <w:tcPr>
            <w:tcW w:w="1347" w:type="dxa"/>
            <w:noWrap w:val="0"/>
            <w:vAlign w:val="top"/>
          </w:tcPr>
          <w:p>
            <w:pPr>
              <w:shd w:val="clear" w:color="auto" w:fill="FFFFFF"/>
              <w:adjustRightInd w:val="0"/>
              <w:spacing w:line="360" w:lineRule="auto"/>
              <w:jc w:val="center"/>
              <w:rPr>
                <w:rFonts w:ascii="宋体" w:hAnsi="宋体"/>
                <w:b/>
                <w:bCs/>
                <w:color w:val="auto"/>
                <w:kern w:val="0"/>
                <w:sz w:val="22"/>
                <w:szCs w:val="21"/>
                <w:highlight w:val="none"/>
                <w:u w:val="single"/>
              </w:rPr>
            </w:pPr>
            <w:r>
              <w:rPr>
                <w:rFonts w:hint="eastAsia" w:ascii="宋体" w:hAnsi="宋体"/>
                <w:b/>
                <w:bCs/>
                <w:color w:val="auto"/>
                <w:kern w:val="0"/>
                <w:sz w:val="22"/>
                <w:szCs w:val="21"/>
                <w:highlight w:val="none"/>
                <w:u w:val="single"/>
              </w:rPr>
              <w:t>人员要求</w:t>
            </w:r>
          </w:p>
        </w:tc>
        <w:tc>
          <w:tcPr>
            <w:tcW w:w="6804" w:type="dxa"/>
            <w:noWrap w:val="0"/>
            <w:vAlign w:val="top"/>
          </w:tcPr>
          <w:p>
            <w:pPr>
              <w:shd w:val="clear" w:color="auto" w:fill="FFFFFF"/>
              <w:adjustRightInd w:val="0"/>
              <w:spacing w:line="240" w:lineRule="auto"/>
              <w:rPr>
                <w:rFonts w:hint="eastAsia" w:ascii="宋体" w:hAnsi="宋体"/>
                <w:color w:val="auto"/>
                <w:kern w:val="0"/>
                <w:sz w:val="22"/>
                <w:szCs w:val="21"/>
                <w:highlight w:val="none"/>
                <w:u w:val="none"/>
              </w:rPr>
            </w:pPr>
            <w:r>
              <w:rPr>
                <w:rFonts w:hint="eastAsia" w:ascii="宋体" w:hAnsi="宋体"/>
                <w:color w:val="auto"/>
                <w:kern w:val="0"/>
                <w:sz w:val="22"/>
                <w:szCs w:val="21"/>
                <w:highlight w:val="none"/>
                <w:u w:val="none"/>
              </w:rPr>
              <w:t>1.人员配置要求：投标单位需承诺在本项目投入不少于2名注册造价工程师（土建专业1人、安装专业1人），不少于4名造价员（土建专业2人、安装专业2人）；</w:t>
            </w:r>
          </w:p>
          <w:p>
            <w:pPr>
              <w:shd w:val="clear" w:color="auto" w:fill="FFFFFF"/>
              <w:adjustRightInd w:val="0"/>
              <w:spacing w:line="240" w:lineRule="auto"/>
              <w:rPr>
                <w:rFonts w:ascii="宋体" w:hAnsi="宋体"/>
                <w:color w:val="auto"/>
                <w:kern w:val="0"/>
                <w:sz w:val="22"/>
                <w:szCs w:val="21"/>
                <w:highlight w:val="none"/>
                <w:u w:val="single"/>
              </w:rPr>
            </w:pPr>
            <w:r>
              <w:rPr>
                <w:rFonts w:hint="eastAsia" w:ascii="宋体" w:hAnsi="宋体"/>
                <w:color w:val="auto"/>
                <w:kern w:val="0"/>
                <w:sz w:val="22"/>
                <w:szCs w:val="21"/>
                <w:highlight w:val="none"/>
                <w:u w:val="none"/>
              </w:rPr>
              <w:t>2.人员驻场要求：项目开始启动时至服务期结束，派遣不少于1名驻场人员（具备一级造价师或同等职业资格，具有5年以上造价管理经验，熟悉全过程造价管理流程），服从招标人管理，常驻招标人场地开展项目相关造价服务工作以及招标人安排的其他工作。</w:t>
            </w:r>
          </w:p>
        </w:tc>
      </w:tr>
    </w:tbl>
    <w:p>
      <w:pPr>
        <w:shd w:val="solid" w:color="FFFFFF" w:fill="auto"/>
        <w:autoSpaceDN w:val="0"/>
        <w:snapToGrid w:val="0"/>
        <w:spacing w:line="480" w:lineRule="exact"/>
        <w:ind w:firstLine="0" w:firstLineChars="0"/>
        <w:rPr>
          <w:rFonts w:ascii="宋体" w:hAnsi="宋体"/>
          <w:color w:val="auto"/>
          <w:sz w:val="24"/>
          <w:highlight w:val="none"/>
          <w:u w:val="single"/>
        </w:rPr>
      </w:pPr>
    </w:p>
    <w:p>
      <w:pPr>
        <w:pStyle w:val="12"/>
        <w:spacing w:after="0" w:line="360" w:lineRule="auto"/>
        <w:ind w:firstLine="480" w:firstLineChars="200"/>
        <w:rPr>
          <w:rFonts w:hint="eastAsia" w:cs="宋体"/>
          <w:kern w:val="0"/>
          <w:sz w:val="24"/>
          <w:szCs w:val="24"/>
          <w:highlight w:val="none"/>
          <w:u w:val="none"/>
          <w:lang w:eastAsia="zh-CN"/>
        </w:rPr>
      </w:pPr>
      <w:r>
        <w:rPr>
          <w:rFonts w:hint="eastAsia"/>
          <w:color w:val="auto"/>
          <w:highlight w:val="none"/>
        </w:rPr>
        <w:t>合同价</w:t>
      </w:r>
      <w:r>
        <w:rPr>
          <w:rFonts w:hint="eastAsia"/>
          <w:color w:val="auto"/>
          <w:highlight w:val="none"/>
          <w:u w:val="single"/>
        </w:rPr>
        <w:t>:暂定为人民币   元。</w:t>
      </w:r>
      <w:r>
        <w:rPr>
          <w:rFonts w:hint="eastAsia"/>
          <w:color w:val="auto"/>
          <w:highlight w:val="none"/>
          <w:u w:val="none"/>
        </w:rPr>
        <w:t>按经审定</w:t>
      </w:r>
      <w:r>
        <w:rPr>
          <w:rFonts w:hint="eastAsia"/>
          <w:color w:val="auto"/>
          <w:highlight w:val="none"/>
          <w:u w:val="none"/>
          <w:lang w:val="en-US" w:eastAsia="zh-CN"/>
        </w:rPr>
        <w:t>的工程结算</w:t>
      </w:r>
      <w:r>
        <w:rPr>
          <w:rFonts w:hint="eastAsia"/>
          <w:color w:val="auto"/>
          <w:highlight w:val="none"/>
          <w:u w:val="none"/>
        </w:rPr>
        <w:t>对应的建安</w:t>
      </w:r>
      <w:r>
        <w:rPr>
          <w:rFonts w:hint="eastAsia"/>
          <w:color w:val="auto"/>
          <w:highlight w:val="none"/>
          <w:u w:val="none"/>
          <w:lang w:val="en-US" w:eastAsia="zh-CN"/>
        </w:rPr>
        <w:t>工程</w:t>
      </w:r>
      <w:r>
        <w:rPr>
          <w:rFonts w:hint="eastAsia"/>
          <w:color w:val="auto"/>
          <w:highlight w:val="none"/>
          <w:u w:val="none"/>
        </w:rPr>
        <w:t>费作为计费基数进行结算，并按照（20%+中标单位投标所报的下浮率）计算，最终以有权审核部门终审为准。</w:t>
      </w:r>
    </w:p>
    <w:p>
      <w:pPr>
        <w:pStyle w:val="10"/>
        <w:spacing w:before="0" w:beforeAutospacing="0" w:after="0" w:afterAutospacing="0" w:line="480" w:lineRule="exact"/>
        <w:ind w:firstLine="480" w:firstLineChars="200"/>
        <w:rPr>
          <w:snapToGrid w:val="0"/>
          <w:color w:val="auto"/>
          <w:highlight w:val="none"/>
        </w:rPr>
      </w:pPr>
      <w:r>
        <w:rPr>
          <w:rFonts w:hint="eastAsia"/>
          <w:color w:val="auto"/>
          <w:highlight w:val="none"/>
        </w:rPr>
        <w:t>二、</w:t>
      </w:r>
      <w:r>
        <w:rPr>
          <w:rFonts w:hint="eastAsia"/>
          <w:snapToGrid w:val="0"/>
          <w:color w:val="auto"/>
          <w:highlight w:val="none"/>
        </w:rPr>
        <w:t>本合同协议书中有关词语含义与合同条款中分别赋予它们的定义相同。</w:t>
      </w:r>
    </w:p>
    <w:p>
      <w:pPr>
        <w:pStyle w:val="10"/>
        <w:spacing w:before="0" w:beforeAutospacing="0" w:after="0" w:afterAutospacing="0" w:line="480" w:lineRule="exact"/>
        <w:ind w:firstLine="480" w:firstLineChars="200"/>
        <w:rPr>
          <w:snapToGrid w:val="0"/>
          <w:color w:val="auto"/>
          <w:highlight w:val="none"/>
        </w:rPr>
      </w:pPr>
      <w:r>
        <w:rPr>
          <w:rFonts w:hint="eastAsia"/>
          <w:color w:val="auto"/>
          <w:highlight w:val="none"/>
        </w:rPr>
        <w:t>三、</w:t>
      </w:r>
      <w:r>
        <w:rPr>
          <w:rFonts w:hint="eastAsia"/>
          <w:snapToGrid w:val="0"/>
          <w:color w:val="auto"/>
          <w:highlight w:val="none"/>
        </w:rPr>
        <w:t>下列文件应被认为是组成本合同的一部分，并互为补充和解释，如各文件存在冲突之处，以如下排列次序在前者优先适用：</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1.国家和广东省、广州市关于本项目的有关文件；</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2.本合同履行期间甲乙双方签订的补充合同（协议）或修正文件；</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3.合同协议书；</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4.本项目招标文件；</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5.甲方相关</w:t>
      </w:r>
      <w:r>
        <w:rPr>
          <w:rFonts w:hint="eastAsia"/>
          <w:snapToGrid w:val="0"/>
          <w:color w:val="auto"/>
          <w:highlight w:val="none"/>
        </w:rPr>
        <w:t>建设管理的各项制度、规定；</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6.合同条款；</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7.乙方服务承诺书及投标文件；</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w:t>
      </w:r>
      <w:r>
        <w:rPr>
          <w:rFonts w:hint="eastAsia"/>
          <w:snapToGrid w:val="0"/>
          <w:color w:val="auto"/>
          <w:highlight w:val="none"/>
        </w:rPr>
        <w:t>国家及广东省、广州市的标准、规范及有关技术文件；</w:t>
      </w:r>
    </w:p>
    <w:p>
      <w:pPr>
        <w:pStyle w:val="10"/>
        <w:spacing w:before="0" w:beforeAutospacing="0" w:after="0" w:afterAutospacing="0" w:line="480" w:lineRule="exact"/>
        <w:ind w:firstLine="480" w:firstLineChars="200"/>
        <w:rPr>
          <w:bCs/>
          <w:snapToGrid w:val="0"/>
          <w:color w:val="auto"/>
          <w:highlight w:val="none"/>
        </w:rPr>
      </w:pPr>
      <w:r>
        <w:rPr>
          <w:rFonts w:hint="eastAsia"/>
          <w:color w:val="auto"/>
          <w:highlight w:val="none"/>
        </w:rPr>
        <w:t>9.</w:t>
      </w:r>
      <w:r>
        <w:rPr>
          <w:rFonts w:hint="eastAsia"/>
          <w:bCs/>
          <w:snapToGrid w:val="0"/>
          <w:color w:val="auto"/>
          <w:highlight w:val="none"/>
        </w:rPr>
        <w:t>组成合同的其它文件。</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四、乙方承诺按照本合同的约定履行合同义务。</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五、甲方承诺按照本合同约定的履行合同义务。</w:t>
      </w:r>
    </w:p>
    <w:p>
      <w:pPr>
        <w:pStyle w:val="10"/>
        <w:spacing w:before="0" w:beforeAutospacing="0" w:after="0" w:afterAutospacing="0" w:line="480" w:lineRule="exact"/>
        <w:ind w:firstLine="480" w:firstLineChars="200"/>
        <w:rPr>
          <w:color w:val="auto"/>
          <w:kern w:val="0"/>
          <w:highlight w:val="none"/>
          <w:u w:val="single"/>
        </w:rPr>
      </w:pPr>
      <w:r>
        <w:rPr>
          <w:rFonts w:hint="eastAsia"/>
          <w:color w:val="auto"/>
          <w:highlight w:val="none"/>
        </w:rPr>
        <w:t>六、服务期限：</w:t>
      </w:r>
      <w:r>
        <w:rPr>
          <w:rFonts w:hint="eastAsia"/>
          <w:color w:val="auto"/>
          <w:kern w:val="0"/>
          <w:highlight w:val="none"/>
          <w:u w:val="single"/>
        </w:rPr>
        <w:t>自收到委托人通知开始之日起至合同约定造价咨询服务内容全部完成止。委托人根据实际情况，有权对本项目服务期限进行适当调整。</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七、本合同正本一式两份，甲方、乙方各执一份；副本六份，甲方执三份，乙方执三份。合同正、副本具有同等效力，但当合同正本与副本的表述不一致时，以合同正本为准。</w:t>
      </w:r>
    </w:p>
    <w:p>
      <w:pPr>
        <w:pStyle w:val="10"/>
        <w:spacing w:before="0" w:beforeAutospacing="0" w:after="0" w:afterAutospacing="0" w:line="480" w:lineRule="exact"/>
        <w:ind w:left="6139" w:hanging="6139" w:hangingChars="2548"/>
        <w:rPr>
          <w:rFonts w:hint="eastAsia"/>
          <w:b/>
          <w:color w:val="auto"/>
          <w:highlight w:val="none"/>
        </w:rPr>
      </w:pPr>
    </w:p>
    <w:p>
      <w:pPr>
        <w:pStyle w:val="10"/>
        <w:spacing w:before="0" w:beforeAutospacing="0" w:after="0" w:afterAutospacing="0" w:line="480" w:lineRule="exact"/>
        <w:ind w:left="6139" w:hanging="6139" w:hangingChars="2548"/>
        <w:rPr>
          <w:snapToGrid w:val="0"/>
          <w:color w:val="auto"/>
          <w:spacing w:val="-20"/>
          <w:kern w:val="44"/>
          <w:highlight w:val="none"/>
        </w:rPr>
      </w:pPr>
      <w:r>
        <w:rPr>
          <w:rFonts w:hint="eastAsia"/>
          <w:b/>
          <w:color w:val="auto"/>
          <w:highlight w:val="none"/>
        </w:rPr>
        <w:t xml:space="preserve">甲方：广州市越秀区代建项目管理中心    </w:t>
      </w:r>
      <w:r>
        <w:rPr>
          <w:rFonts w:hint="eastAsia"/>
          <w:b/>
          <w:color w:val="auto"/>
          <w:spacing w:val="-20"/>
          <w:highlight w:val="none"/>
        </w:rPr>
        <w:t xml:space="preserve"> 乙方：</w:t>
      </w:r>
      <w:r>
        <w:rPr>
          <w:snapToGrid w:val="0"/>
          <w:color w:val="auto"/>
          <w:spacing w:val="-20"/>
          <w:kern w:val="44"/>
          <w:highlight w:val="none"/>
        </w:rPr>
        <w:t xml:space="preserve"> </w:t>
      </w:r>
    </w:p>
    <w:p>
      <w:pPr>
        <w:pStyle w:val="10"/>
        <w:spacing w:before="0" w:beforeAutospacing="0" w:after="0" w:afterAutospacing="0" w:line="480" w:lineRule="exact"/>
        <w:rPr>
          <w:color w:val="auto"/>
          <w:highlight w:val="none"/>
        </w:rPr>
      </w:pPr>
      <w:r>
        <w:rPr>
          <w:rFonts w:hint="eastAsia"/>
          <w:color w:val="auto"/>
          <w:highlight w:val="none"/>
        </w:rPr>
        <w:t>（盖章）                             （盖章）</w:t>
      </w:r>
    </w:p>
    <w:p>
      <w:pPr>
        <w:pStyle w:val="10"/>
        <w:spacing w:before="0" w:beforeAutospacing="0" w:after="0" w:afterAutospacing="0" w:line="480" w:lineRule="exact"/>
        <w:rPr>
          <w:color w:val="auto"/>
          <w:highlight w:val="none"/>
        </w:rPr>
      </w:pPr>
    </w:p>
    <w:p>
      <w:pPr>
        <w:pStyle w:val="10"/>
        <w:spacing w:before="0" w:beforeAutospacing="0" w:after="0" w:afterAutospacing="0" w:line="480" w:lineRule="exact"/>
        <w:rPr>
          <w:color w:val="auto"/>
          <w:highlight w:val="none"/>
        </w:rPr>
      </w:pPr>
      <w:r>
        <w:rPr>
          <w:rFonts w:hint="eastAsia"/>
          <w:color w:val="auto"/>
          <w:highlight w:val="none"/>
        </w:rPr>
        <w:t>法定代表人：                           法定代表人：</w:t>
      </w:r>
    </w:p>
    <w:p>
      <w:pPr>
        <w:pStyle w:val="10"/>
        <w:spacing w:before="0" w:beforeAutospacing="0" w:after="0" w:afterAutospacing="0" w:line="480" w:lineRule="exact"/>
        <w:rPr>
          <w:color w:val="auto"/>
          <w:highlight w:val="none"/>
        </w:rPr>
      </w:pPr>
    </w:p>
    <w:p>
      <w:pPr>
        <w:pStyle w:val="10"/>
        <w:spacing w:before="0" w:beforeAutospacing="0" w:after="0" w:afterAutospacing="0" w:line="480" w:lineRule="exact"/>
        <w:rPr>
          <w:color w:val="auto"/>
          <w:highlight w:val="none"/>
        </w:rPr>
      </w:pPr>
      <w:r>
        <w:rPr>
          <w:rFonts w:hint="eastAsia"/>
          <w:color w:val="auto"/>
          <w:highlight w:val="none"/>
          <w:lang w:val="en-US" w:eastAsia="zh-CN"/>
        </w:rPr>
        <w:t>经办人</w:t>
      </w:r>
      <w:r>
        <w:rPr>
          <w:rFonts w:hint="eastAsia"/>
          <w:color w:val="auto"/>
          <w:highlight w:val="none"/>
        </w:rPr>
        <w:t xml:space="preserve">：                           </w:t>
      </w:r>
      <w:r>
        <w:rPr>
          <w:rFonts w:hint="eastAsia"/>
          <w:color w:val="auto"/>
          <w:highlight w:val="none"/>
          <w:lang w:val="en-US" w:eastAsia="zh-CN"/>
        </w:rPr>
        <w:t xml:space="preserve">    经办人：</w:t>
      </w:r>
    </w:p>
    <w:p>
      <w:pPr>
        <w:pStyle w:val="10"/>
        <w:spacing w:before="0" w:beforeAutospacing="0" w:after="0" w:afterAutospacing="0" w:line="480" w:lineRule="exact"/>
        <w:rPr>
          <w:color w:val="auto"/>
          <w:highlight w:val="none"/>
        </w:rPr>
      </w:pPr>
    </w:p>
    <w:p>
      <w:pPr>
        <w:pStyle w:val="10"/>
        <w:spacing w:before="0" w:beforeAutospacing="0" w:after="0" w:afterAutospacing="0" w:line="480" w:lineRule="exact"/>
        <w:rPr>
          <w:color w:val="auto"/>
          <w:highlight w:val="none"/>
        </w:rPr>
      </w:pPr>
      <w:r>
        <w:rPr>
          <w:rFonts w:hint="eastAsia"/>
          <w:color w:val="auto"/>
          <w:highlight w:val="none"/>
        </w:rPr>
        <w:t>地址：</w:t>
      </w:r>
      <w:r>
        <w:rPr>
          <w:rFonts w:hint="eastAsia"/>
          <w:color w:val="auto"/>
          <w:spacing w:val="-20"/>
          <w:highlight w:val="none"/>
        </w:rPr>
        <w:t xml:space="preserve">广州市广州市越秀区东华西路永胜街         </w:t>
      </w:r>
      <w:r>
        <w:rPr>
          <w:rFonts w:hint="eastAsia"/>
          <w:color w:val="auto"/>
          <w:highlight w:val="none"/>
        </w:rPr>
        <w:t>地址：</w:t>
      </w:r>
    </w:p>
    <w:p>
      <w:pPr>
        <w:pStyle w:val="10"/>
        <w:spacing w:before="0" w:beforeAutospacing="0" w:after="0" w:afterAutospacing="0" w:line="480" w:lineRule="exact"/>
        <w:rPr>
          <w:color w:val="auto"/>
          <w:highlight w:val="none"/>
        </w:rPr>
      </w:pPr>
      <w:r>
        <w:rPr>
          <w:rFonts w:hint="eastAsia"/>
          <w:color w:val="auto"/>
          <w:spacing w:val="-20"/>
          <w:highlight w:val="none"/>
        </w:rPr>
        <w:t>51号首层至三层</w:t>
      </w:r>
    </w:p>
    <w:p>
      <w:pPr>
        <w:pStyle w:val="10"/>
        <w:spacing w:before="0" w:beforeAutospacing="0" w:after="0" w:afterAutospacing="0" w:line="480" w:lineRule="exact"/>
        <w:rPr>
          <w:color w:val="auto"/>
          <w:highlight w:val="none"/>
        </w:rPr>
      </w:pPr>
      <w:r>
        <w:rPr>
          <w:rFonts w:hint="eastAsia"/>
          <w:color w:val="auto"/>
          <w:highlight w:val="none"/>
        </w:rPr>
        <w:t>邮编：</w:t>
      </w:r>
      <w:r>
        <w:rPr>
          <w:rFonts w:hint="eastAsia"/>
          <w:color w:val="auto"/>
          <w:highlight w:val="none"/>
          <w:lang w:val="en-US" w:eastAsia="zh-CN"/>
        </w:rPr>
        <w:t>510055</w:t>
      </w:r>
      <w:r>
        <w:rPr>
          <w:rFonts w:hint="eastAsia"/>
          <w:color w:val="auto"/>
          <w:highlight w:val="none"/>
        </w:rPr>
        <w:t xml:space="preserve">                           邮编：</w:t>
      </w:r>
    </w:p>
    <w:p>
      <w:pPr>
        <w:pStyle w:val="10"/>
        <w:spacing w:before="0" w:beforeAutospacing="0" w:after="0" w:afterAutospacing="0" w:line="480" w:lineRule="exact"/>
        <w:rPr>
          <w:color w:val="auto"/>
          <w:highlight w:val="none"/>
        </w:rPr>
      </w:pPr>
      <w:r>
        <w:rPr>
          <w:rFonts w:hint="eastAsia"/>
          <w:color w:val="auto"/>
          <w:highlight w:val="none"/>
        </w:rPr>
        <w:t>电话：</w:t>
      </w:r>
      <w:r>
        <w:rPr>
          <w:rFonts w:hint="eastAsia"/>
          <w:color w:val="auto"/>
          <w:highlight w:val="none"/>
          <w:lang w:val="en-US" w:eastAsia="zh-CN"/>
        </w:rPr>
        <w:t>83520212</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电话：</w:t>
      </w:r>
    </w:p>
    <w:p>
      <w:pPr>
        <w:pStyle w:val="10"/>
        <w:spacing w:before="0" w:beforeAutospacing="0" w:after="0" w:afterAutospacing="0" w:line="480" w:lineRule="exact"/>
        <w:rPr>
          <w:color w:val="auto"/>
          <w:highlight w:val="none"/>
        </w:rPr>
      </w:pPr>
      <w:r>
        <w:rPr>
          <w:rFonts w:hint="eastAsia"/>
          <w:color w:val="auto"/>
          <w:highlight w:val="none"/>
        </w:rPr>
        <w:t xml:space="preserve">传真： </w:t>
      </w:r>
      <w:r>
        <w:rPr>
          <w:rFonts w:hint="eastAsia"/>
          <w:color w:val="auto"/>
          <w:highlight w:val="none"/>
          <w:lang w:val="en-US" w:eastAsia="zh-CN"/>
        </w:rPr>
        <w:t>/</w:t>
      </w:r>
      <w:r>
        <w:rPr>
          <w:rFonts w:hint="eastAsia"/>
          <w:color w:val="auto"/>
          <w:highlight w:val="none"/>
        </w:rPr>
        <w:t xml:space="preserve">                               传真：</w:t>
      </w:r>
    </w:p>
    <w:p>
      <w:pPr>
        <w:pStyle w:val="10"/>
        <w:spacing w:before="0" w:beforeAutospacing="0" w:after="0" w:afterAutospacing="0" w:line="480" w:lineRule="exact"/>
        <w:rPr>
          <w:color w:val="auto"/>
          <w:highlight w:val="none"/>
        </w:rPr>
      </w:pPr>
      <w:r>
        <w:rPr>
          <w:rFonts w:hint="eastAsia"/>
          <w:color w:val="auto"/>
          <w:highlight w:val="none"/>
        </w:rPr>
        <w:t>开户银行：</w:t>
      </w:r>
      <w:r>
        <w:rPr>
          <w:rFonts w:hint="eastAsia"/>
          <w:color w:val="auto"/>
          <w:highlight w:val="none"/>
          <w:lang w:val="en-US" w:eastAsia="zh-CN"/>
        </w:rPr>
        <w:t>/</w:t>
      </w:r>
      <w:r>
        <w:rPr>
          <w:rFonts w:hint="eastAsia"/>
          <w:color w:val="auto"/>
          <w:highlight w:val="none"/>
        </w:rPr>
        <w:t xml:space="preserve">                            开户银行：</w:t>
      </w:r>
    </w:p>
    <w:p>
      <w:pPr>
        <w:pStyle w:val="10"/>
        <w:spacing w:before="0" w:beforeAutospacing="0" w:after="0" w:afterAutospacing="0" w:line="480" w:lineRule="exact"/>
        <w:rPr>
          <w:color w:val="auto"/>
          <w:highlight w:val="none"/>
        </w:rPr>
      </w:pPr>
      <w:r>
        <w:rPr>
          <w:rFonts w:hint="eastAsia"/>
          <w:color w:val="auto"/>
          <w:highlight w:val="none"/>
        </w:rPr>
        <w:t xml:space="preserve">开户账号： </w:t>
      </w:r>
      <w:r>
        <w:rPr>
          <w:rFonts w:hint="eastAsia"/>
          <w:color w:val="auto"/>
          <w:highlight w:val="none"/>
          <w:lang w:val="en-US" w:eastAsia="zh-CN"/>
        </w:rPr>
        <w:t>/</w:t>
      </w:r>
      <w:r>
        <w:rPr>
          <w:rFonts w:hint="eastAsia"/>
          <w:color w:val="auto"/>
          <w:highlight w:val="none"/>
        </w:rPr>
        <w:t xml:space="preserve">                           开户账号：</w:t>
      </w:r>
    </w:p>
    <w:p>
      <w:pPr>
        <w:pStyle w:val="10"/>
        <w:spacing w:before="0" w:beforeAutospacing="0" w:after="0" w:afterAutospacing="0" w:line="480" w:lineRule="exact"/>
        <w:rPr>
          <w:color w:val="auto"/>
          <w:highlight w:val="none"/>
        </w:rPr>
      </w:pPr>
      <w:r>
        <w:rPr>
          <w:rFonts w:hint="eastAsia"/>
          <w:color w:val="auto"/>
          <w:highlight w:val="none"/>
        </w:rPr>
        <w:t>签订日期：</w:t>
      </w:r>
      <w:r>
        <w:rPr>
          <w:rFonts w:hint="eastAsia"/>
          <w:color w:val="auto"/>
          <w:highlight w:val="none"/>
          <w:lang w:val="en-US" w:eastAsia="zh-CN"/>
        </w:rPr>
        <w:t>2024</w:t>
      </w:r>
      <w:r>
        <w:rPr>
          <w:rFonts w:hint="eastAsia"/>
          <w:color w:val="auto"/>
          <w:highlight w:val="none"/>
        </w:rPr>
        <w:t>年  月  日              签订日期：</w:t>
      </w:r>
      <w:r>
        <w:rPr>
          <w:rFonts w:hint="eastAsia"/>
          <w:color w:val="auto"/>
          <w:highlight w:val="none"/>
          <w:lang w:val="en-US" w:eastAsia="zh-CN"/>
        </w:rPr>
        <w:t>2024</w:t>
      </w:r>
      <w:r>
        <w:rPr>
          <w:rFonts w:hint="eastAsia"/>
          <w:color w:val="auto"/>
          <w:highlight w:val="none"/>
        </w:rPr>
        <w:t>年  月   日</w:t>
      </w:r>
    </w:p>
    <w:p>
      <w:pPr>
        <w:pStyle w:val="10"/>
        <w:spacing w:before="0" w:beforeAutospacing="0" w:after="0" w:afterAutospacing="0" w:line="480" w:lineRule="exact"/>
        <w:jc w:val="center"/>
        <w:rPr>
          <w:color w:val="auto"/>
          <w:highlight w:val="none"/>
        </w:rPr>
      </w:pPr>
    </w:p>
    <w:p>
      <w:pPr>
        <w:pStyle w:val="10"/>
        <w:spacing w:before="0" w:beforeAutospacing="0" w:after="0" w:afterAutospacing="0" w:line="480" w:lineRule="exact"/>
        <w:jc w:val="center"/>
        <w:rPr>
          <w:color w:val="auto"/>
          <w:highlight w:val="none"/>
        </w:rPr>
      </w:pPr>
      <w:r>
        <w:rPr>
          <w:rFonts w:hint="eastAsia"/>
          <w:color w:val="auto"/>
          <w:highlight w:val="none"/>
        </w:rPr>
        <w:t>本合同签订于广东省广州市越秀区。</w:t>
      </w:r>
    </w:p>
    <w:p>
      <w:pPr>
        <w:rPr>
          <w:rFonts w:ascii="宋体" w:hAnsi="宋体" w:cs="宋体"/>
          <w:color w:val="auto"/>
          <w:sz w:val="24"/>
          <w:szCs w:val="24"/>
          <w:highlight w:val="none"/>
        </w:rPr>
      </w:pPr>
      <w:r>
        <w:rPr>
          <w:color w:val="auto"/>
          <w:highlight w:val="none"/>
        </w:rPr>
        <w:br w:type="page"/>
      </w:r>
    </w:p>
    <w:p>
      <w:pPr>
        <w:pStyle w:val="10"/>
        <w:spacing w:before="0" w:beforeAutospacing="0" w:after="0" w:afterAutospacing="0" w:line="480" w:lineRule="exact"/>
        <w:jc w:val="center"/>
        <w:rPr>
          <w:color w:val="auto"/>
          <w:sz w:val="36"/>
          <w:szCs w:val="36"/>
          <w:highlight w:val="none"/>
        </w:rPr>
      </w:pPr>
      <w:r>
        <w:rPr>
          <w:rFonts w:hint="eastAsia"/>
          <w:b/>
          <w:bCs/>
          <w:color w:val="auto"/>
          <w:sz w:val="36"/>
          <w:szCs w:val="36"/>
          <w:highlight w:val="none"/>
        </w:rPr>
        <w:t>第二部分  合同条款</w:t>
      </w:r>
    </w:p>
    <w:p>
      <w:pPr>
        <w:pStyle w:val="10"/>
        <w:spacing w:before="0" w:beforeAutospacing="0" w:after="0" w:afterAutospacing="0" w:line="480" w:lineRule="exact"/>
        <w:ind w:firstLine="482" w:firstLineChars="200"/>
        <w:rPr>
          <w:b/>
          <w:color w:val="auto"/>
          <w:highlight w:val="none"/>
        </w:rPr>
      </w:pPr>
      <w:r>
        <w:rPr>
          <w:rFonts w:hint="eastAsia"/>
          <w:b/>
          <w:color w:val="auto"/>
          <w:highlight w:val="none"/>
        </w:rPr>
        <w:t>一、词语定义</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1.1甲方：是指委托建设工程造价咨询业务和聘用工程造价咨询单位的一方，</w:t>
      </w:r>
      <w:r>
        <w:rPr>
          <w:rFonts w:hint="eastAsia"/>
          <w:snapToGrid w:val="0"/>
          <w:color w:val="auto"/>
          <w:highlight w:val="none"/>
        </w:rPr>
        <w:t>在本合同中特指</w:t>
      </w:r>
      <w:r>
        <w:rPr>
          <w:rFonts w:hint="eastAsia"/>
          <w:b/>
          <w:color w:val="auto"/>
          <w:highlight w:val="none"/>
          <w:u w:val="single"/>
        </w:rPr>
        <w:t>广州市越秀区代建项目管理中心</w:t>
      </w:r>
      <w:r>
        <w:rPr>
          <w:rFonts w:hint="eastAsia"/>
          <w:snapToGrid w:val="0"/>
          <w:color w:val="auto"/>
          <w:highlight w:val="none"/>
        </w:rPr>
        <w:t>。</w:t>
      </w:r>
    </w:p>
    <w:p>
      <w:pPr>
        <w:adjustRightInd w:val="0"/>
        <w:snapToGrid w:val="0"/>
        <w:spacing w:line="480" w:lineRule="exact"/>
        <w:ind w:firstLine="480" w:firstLineChars="200"/>
        <w:rPr>
          <w:rFonts w:ascii="宋体" w:hAnsi="宋体"/>
          <w:snapToGrid w:val="0"/>
          <w:color w:val="auto"/>
          <w:sz w:val="24"/>
          <w:highlight w:val="none"/>
        </w:rPr>
      </w:pPr>
      <w:r>
        <w:rPr>
          <w:rFonts w:hint="eastAsia" w:ascii="宋体" w:hAnsi="宋体"/>
          <w:color w:val="auto"/>
          <w:sz w:val="24"/>
          <w:highlight w:val="none"/>
        </w:rPr>
        <w:t>1.2乙方：是指承担建设工程造价咨询业务和工程造价咨询责任的一方，在本合同中特</w:t>
      </w:r>
      <w:r>
        <w:rPr>
          <w:rFonts w:hint="eastAsia" w:ascii="宋体" w:hAnsi="宋体"/>
          <w:snapToGrid w:val="0"/>
          <w:color w:val="auto"/>
          <w:sz w:val="24"/>
          <w:highlight w:val="none"/>
        </w:rPr>
        <w:t>指</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rPr>
        <w:t>。</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1.3第三人：是指除甲方、乙方以外与本合同约定咨询业务有关的当事人。</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1.4日：是指任何一天零时至第二天零时的时间段。</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1.5月：是指根据公历从一个月份中任何一日开始到下一个月相应日期的前一日的时间段。</w:t>
      </w:r>
    </w:p>
    <w:p>
      <w:pPr>
        <w:pStyle w:val="10"/>
        <w:spacing w:before="0" w:beforeAutospacing="0" w:after="0" w:afterAutospacing="0" w:line="480" w:lineRule="exact"/>
        <w:ind w:firstLine="482" w:firstLineChars="200"/>
        <w:rPr>
          <w:b/>
          <w:color w:val="auto"/>
          <w:highlight w:val="none"/>
        </w:rPr>
      </w:pPr>
      <w:r>
        <w:rPr>
          <w:rFonts w:hint="eastAsia"/>
          <w:b/>
          <w:color w:val="auto"/>
          <w:highlight w:val="none"/>
        </w:rPr>
        <w:t>二、本合同适用的法律、法规及工程造价计价办法和规定</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2.1本合同适用中华人民共和国法律、法规。</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2.2本合同适用的工程造价计价办法和规定是：《广东省建设工程计价依据（2018）》、广州市建设工程计价相关规定、《广东省房屋建筑与装饰工程综合定额2018》、《广东省通用安装工程综合定额2018》、《广东省园林绿化工程综合定额2018》、《广东省市政工程综合定额2018》及《建设工程工程量清单计价规范》（GB50500-2013）的相关规定。国家及广东省、广州市有最新规定的，从其规定。</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2.3其它计价依据：甲方的要求、图纸、招标文件。</w:t>
      </w:r>
    </w:p>
    <w:p>
      <w:pPr>
        <w:pStyle w:val="10"/>
        <w:spacing w:before="0" w:beforeAutospacing="0" w:after="0" w:afterAutospacing="0" w:line="480" w:lineRule="exact"/>
        <w:ind w:firstLine="482" w:firstLineChars="200"/>
        <w:rPr>
          <w:b/>
          <w:color w:val="auto"/>
          <w:highlight w:val="none"/>
        </w:rPr>
      </w:pPr>
      <w:r>
        <w:rPr>
          <w:rFonts w:hint="eastAsia"/>
          <w:b/>
          <w:color w:val="auto"/>
          <w:highlight w:val="none"/>
        </w:rPr>
        <w:t>三、本合同适用的语言文字</w:t>
      </w:r>
    </w:p>
    <w:p>
      <w:pPr>
        <w:pStyle w:val="10"/>
        <w:spacing w:before="0" w:beforeAutospacing="0" w:after="0" w:afterAutospacing="0" w:line="480" w:lineRule="exact"/>
        <w:ind w:firstLine="480" w:firstLineChars="200"/>
        <w:rPr>
          <w:color w:val="auto"/>
          <w:highlight w:val="none"/>
        </w:rPr>
      </w:pPr>
      <w:r>
        <w:rPr>
          <w:rFonts w:hint="eastAsia"/>
          <w:snapToGrid w:val="0"/>
          <w:color w:val="auto"/>
          <w:highlight w:val="none"/>
        </w:rPr>
        <w:t>本合同及其补充协议、甲乙双方来往文件等均使用中文书写。使用其他文字书写的对双方均不具有法律约束力，但如翻译成中文并经双方法定代表人（或其</w:t>
      </w:r>
      <w:r>
        <w:rPr>
          <w:rFonts w:hint="eastAsia"/>
          <w:color w:val="auto"/>
          <w:highlight w:val="none"/>
        </w:rPr>
        <w:t>委托代理人）签字或双方盖章确认的，则对双方均具有法律约束力。</w:t>
      </w:r>
    </w:p>
    <w:p>
      <w:pPr>
        <w:pStyle w:val="10"/>
        <w:spacing w:before="0" w:beforeAutospacing="0" w:after="0" w:afterAutospacing="0" w:line="480" w:lineRule="exact"/>
        <w:ind w:firstLine="472" w:firstLineChars="196"/>
        <w:rPr>
          <w:color w:val="auto"/>
          <w:highlight w:val="none"/>
        </w:rPr>
      </w:pPr>
      <w:r>
        <w:rPr>
          <w:rFonts w:hint="eastAsia"/>
          <w:b/>
          <w:bCs/>
          <w:color w:val="auto"/>
          <w:highlight w:val="none"/>
        </w:rPr>
        <w:t>四</w:t>
      </w:r>
      <w:r>
        <w:rPr>
          <w:b/>
          <w:bCs/>
          <w:color w:val="auto"/>
          <w:highlight w:val="none"/>
        </w:rPr>
        <w:t>、工作内容和工作要求</w:t>
      </w:r>
    </w:p>
    <w:p>
      <w:pPr>
        <w:snapToGrid w:val="0"/>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（一）工作内容：</w:t>
      </w:r>
      <w:r>
        <w:rPr>
          <w:rFonts w:hint="eastAsia" w:ascii="宋体" w:hAnsi="宋体" w:cs="宋体"/>
          <w:kern w:val="0"/>
          <w:sz w:val="24"/>
          <w:szCs w:val="24"/>
          <w:highlight w:val="none"/>
          <w:u w:val="none"/>
        </w:rPr>
        <w:t>包括</w:t>
      </w:r>
      <w:r>
        <w:rPr>
          <w:rFonts w:hint="eastAsia" w:ascii="宋体" w:hAnsi="宋体" w:cs="宋体"/>
          <w:kern w:val="0"/>
          <w:sz w:val="24"/>
          <w:szCs w:val="24"/>
          <w:highlight w:val="none"/>
          <w:u w:val="none"/>
          <w:lang w:val="en-US" w:eastAsia="zh-CN"/>
        </w:rPr>
        <w:t>但不限于</w:t>
      </w:r>
      <w:r>
        <w:rPr>
          <w:rFonts w:hint="eastAsia" w:ascii="宋体" w:hAnsi="宋体" w:cs="宋体"/>
          <w:kern w:val="0"/>
          <w:sz w:val="24"/>
          <w:szCs w:val="24"/>
          <w:highlight w:val="none"/>
          <w:u w:val="none"/>
        </w:rPr>
        <w:t>预算审核、签证审核、进度款审核、造价动态管理、询价管理、结算管理、人员驻场等，以及审核过程中与该工程相关的建设单位、建设管理单位、设计单位、施工单位、建设行政主管部门等相关单位的协调工作</w:t>
      </w:r>
      <w:r>
        <w:rPr>
          <w:rFonts w:hint="eastAsia" w:ascii="宋体" w:hAnsi="宋体" w:cs="宋体"/>
          <w:kern w:val="0"/>
          <w:sz w:val="24"/>
          <w:szCs w:val="24"/>
          <w:highlight w:val="none"/>
          <w:u w:val="none"/>
          <w:lang w:eastAsia="zh-CN"/>
        </w:rPr>
        <w:t>。</w:t>
      </w:r>
    </w:p>
    <w:p>
      <w:pP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（二）工作要求：</w:t>
      </w:r>
    </w:p>
    <w:p>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w:t>
      </w:r>
      <w:r>
        <w:rPr>
          <w:rFonts w:hint="eastAsia" w:ascii="宋体" w:hAnsi="宋体"/>
          <w:bCs/>
          <w:color w:val="auto"/>
          <w:sz w:val="24"/>
          <w:highlight w:val="none"/>
          <w:lang w:eastAsia="zh-CN"/>
        </w:rPr>
        <w:t>）</w:t>
      </w:r>
      <w:r>
        <w:rPr>
          <w:rFonts w:hint="eastAsia" w:ascii="宋体" w:hAnsi="宋体"/>
          <w:bCs/>
          <w:color w:val="auto"/>
          <w:sz w:val="24"/>
          <w:highlight w:val="none"/>
        </w:rPr>
        <w:t>预算编制（或审核）：从接受业主指令或完整资料起15工作日内出编制（或审核）报告。</w:t>
      </w:r>
    </w:p>
    <w:p>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lang w:eastAsia="zh-CN"/>
        </w:rPr>
        <w:t>）</w:t>
      </w:r>
      <w:r>
        <w:rPr>
          <w:rFonts w:hint="eastAsia" w:ascii="宋体" w:hAnsi="宋体"/>
          <w:bCs/>
          <w:color w:val="auto"/>
          <w:sz w:val="24"/>
          <w:highlight w:val="none"/>
        </w:rPr>
        <w:t>工程进度款审核：从接受完整资料起3工作日内完成。</w:t>
      </w:r>
    </w:p>
    <w:p>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w:t>
      </w:r>
      <w:r>
        <w:rPr>
          <w:rFonts w:hint="eastAsia" w:ascii="宋体" w:hAnsi="宋体"/>
          <w:bCs/>
          <w:color w:val="auto"/>
          <w:sz w:val="24"/>
          <w:highlight w:val="none"/>
        </w:rPr>
        <w:t>工程变更签证审核：从接受完整资料起7工作日内出审核报告。</w:t>
      </w:r>
    </w:p>
    <w:p>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w:t>
      </w:r>
      <w:r>
        <w:rPr>
          <w:rFonts w:hint="eastAsia" w:ascii="宋体" w:hAnsi="宋体"/>
          <w:bCs/>
          <w:color w:val="auto"/>
          <w:sz w:val="24"/>
          <w:highlight w:val="none"/>
          <w:lang w:eastAsia="zh-CN"/>
        </w:rPr>
        <w:t>）</w:t>
      </w:r>
      <w:r>
        <w:rPr>
          <w:rFonts w:hint="eastAsia" w:ascii="宋体" w:hAnsi="宋体"/>
          <w:bCs/>
          <w:color w:val="auto"/>
          <w:sz w:val="24"/>
          <w:highlight w:val="none"/>
        </w:rPr>
        <w:t>工程结算审核：从接受完整资料起30工作日内出初审报告，60工作日内完成审核。</w:t>
      </w:r>
    </w:p>
    <w:p>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5</w:t>
      </w:r>
      <w:r>
        <w:rPr>
          <w:rFonts w:hint="eastAsia" w:ascii="宋体" w:hAnsi="宋体"/>
          <w:bCs/>
          <w:color w:val="auto"/>
          <w:sz w:val="24"/>
          <w:highlight w:val="none"/>
          <w:lang w:eastAsia="zh-CN"/>
        </w:rPr>
        <w:t>）</w:t>
      </w:r>
      <w:r>
        <w:rPr>
          <w:rFonts w:hint="eastAsia" w:ascii="宋体" w:hAnsi="宋体"/>
          <w:bCs/>
          <w:color w:val="auto"/>
          <w:sz w:val="24"/>
          <w:highlight w:val="none"/>
        </w:rPr>
        <w:t>在提供造价咨询服务过程中，对于委托人提出的疑问，必须在24小时内给予答复。</w:t>
      </w:r>
    </w:p>
    <w:p>
      <w:pPr>
        <w:tabs>
          <w:tab w:val="left" w:pos="9100"/>
        </w:tabs>
        <w:autoSpaceDE w:val="0"/>
        <w:autoSpaceDN w:val="0"/>
        <w:spacing w:line="360" w:lineRule="auto"/>
        <w:ind w:firstLine="480" w:firstLineChars="200"/>
        <w:rPr>
          <w:rFonts w:ascii="宋体" w:hAnsi="宋体"/>
          <w:bCs/>
          <w:color w:val="auto"/>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以上工作期限为正常的工作期限，特急项目的工作期限由委托人根据实际情况确定，但最短不少于</w:t>
      </w:r>
      <w:r>
        <w:rPr>
          <w:rFonts w:ascii="宋体" w:hAnsi="宋体" w:cs="宋体"/>
          <w:color w:val="auto"/>
          <w:kern w:val="0"/>
          <w:sz w:val="24"/>
          <w:highlight w:val="none"/>
        </w:rPr>
        <w:t>1</w:t>
      </w:r>
      <w:r>
        <w:rPr>
          <w:rFonts w:hint="eastAsia" w:ascii="宋体" w:hAnsi="宋体" w:cs="宋体"/>
          <w:color w:val="auto"/>
          <w:kern w:val="0"/>
          <w:sz w:val="24"/>
          <w:highlight w:val="none"/>
        </w:rPr>
        <w:t>天；其他咨询服务工作由委托人视具体情况确定；对于委托人提出的疑问，受托人应在</w:t>
      </w:r>
      <w:r>
        <w:rPr>
          <w:rFonts w:ascii="宋体" w:hAnsi="宋体" w:cs="宋体"/>
          <w:color w:val="auto"/>
          <w:kern w:val="0"/>
          <w:sz w:val="24"/>
          <w:highlight w:val="none"/>
        </w:rPr>
        <w:t>24</w:t>
      </w:r>
      <w:r>
        <w:rPr>
          <w:rFonts w:hint="eastAsia" w:ascii="宋体" w:hAnsi="宋体" w:cs="宋体"/>
          <w:color w:val="auto"/>
          <w:kern w:val="0"/>
          <w:sz w:val="24"/>
          <w:highlight w:val="none"/>
        </w:rPr>
        <w:t>小时内给予答复。</w:t>
      </w:r>
    </w:p>
    <w:p>
      <w:pPr>
        <w:pStyle w:val="10"/>
        <w:widowControl/>
        <w:spacing w:before="0" w:beforeAutospacing="0" w:after="0" w:afterAutospacing="0" w:line="360" w:lineRule="auto"/>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cs="宋体"/>
          <w:color w:val="auto"/>
          <w:highlight w:val="none"/>
          <w:shd w:val="clear" w:color="auto" w:fill="FFFFFF"/>
          <w:lang w:val="en-US" w:eastAsia="zh-CN"/>
        </w:rPr>
        <w:t>7</w:t>
      </w:r>
      <w:r>
        <w:rPr>
          <w:rFonts w:hint="eastAsia" w:ascii="宋体" w:hAnsi="宋体" w:eastAsia="宋体" w:cs="宋体"/>
          <w:color w:val="auto"/>
          <w:highlight w:val="none"/>
          <w:shd w:val="clear" w:color="auto" w:fill="FFFFFF"/>
        </w:rPr>
        <w:t>）征集人有权根据工程实际情况，对</w:t>
      </w:r>
      <w:r>
        <w:rPr>
          <w:rFonts w:hint="eastAsia" w:cs="宋体"/>
          <w:color w:val="auto"/>
          <w:highlight w:val="none"/>
          <w:shd w:val="clear" w:color="auto" w:fill="FFFFFF"/>
          <w:lang w:val="en-US" w:eastAsia="zh-CN"/>
        </w:rPr>
        <w:t>工程实施</w:t>
      </w:r>
      <w:r>
        <w:rPr>
          <w:rFonts w:hint="eastAsia" w:ascii="宋体" w:hAnsi="宋体" w:eastAsia="宋体" w:cs="宋体"/>
          <w:color w:val="auto"/>
          <w:highlight w:val="none"/>
          <w:shd w:val="clear" w:color="auto" w:fill="FFFFFF"/>
        </w:rPr>
        <w:t>范围及内容进行适当调整，并按合同约定处理，</w:t>
      </w:r>
      <w:r>
        <w:rPr>
          <w:rFonts w:hint="eastAsia" w:cs="宋体"/>
          <w:color w:val="auto"/>
          <w:highlight w:val="none"/>
          <w:shd w:val="clear" w:color="auto" w:fill="FFFFFF"/>
          <w:lang w:val="en-US" w:eastAsia="zh-CN"/>
        </w:rPr>
        <w:t>应征人</w:t>
      </w:r>
      <w:r>
        <w:rPr>
          <w:rFonts w:hint="eastAsia" w:ascii="宋体" w:hAnsi="宋体" w:eastAsia="宋体" w:cs="宋体"/>
          <w:color w:val="auto"/>
          <w:highlight w:val="none"/>
          <w:shd w:val="clear" w:color="auto" w:fill="FFFFFF"/>
        </w:rPr>
        <w:t>必须无条件服从。</w:t>
      </w:r>
    </w:p>
    <w:p>
      <w:pPr>
        <w:pStyle w:val="10"/>
        <w:widowControl/>
        <w:spacing w:before="0" w:beforeAutospacing="0" w:after="0" w:afterAutospacing="0" w:line="360" w:lineRule="auto"/>
        <w:ind w:firstLine="42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w:t>
      </w:r>
      <w:r>
        <w:rPr>
          <w:rFonts w:hint="eastAsia" w:cs="宋体"/>
          <w:color w:val="auto"/>
          <w:highlight w:val="none"/>
          <w:shd w:val="clear" w:color="auto" w:fill="FFFFFF"/>
          <w:lang w:val="en-US" w:eastAsia="zh-CN"/>
        </w:rPr>
        <w:t>8</w:t>
      </w:r>
      <w:r>
        <w:rPr>
          <w:rFonts w:hint="eastAsia" w:ascii="宋体" w:hAnsi="宋体" w:eastAsia="宋体" w:cs="宋体"/>
          <w:color w:val="auto"/>
          <w:highlight w:val="none"/>
          <w:shd w:val="clear" w:color="auto" w:fill="FFFFFF"/>
        </w:rPr>
        <w:t>）上述工作及其他费用等已包含在投标报价中。</w:t>
      </w:r>
    </w:p>
    <w:p>
      <w:pPr>
        <w:pStyle w:val="10"/>
        <w:widowControl/>
        <w:spacing w:before="0" w:beforeAutospacing="0" w:after="0" w:afterAutospacing="0" w:line="360" w:lineRule="auto"/>
        <w:ind w:firstLine="420"/>
        <w:rPr>
          <w:rFonts w:hint="eastAsia"/>
          <w:highlight w:val="none"/>
          <w:u w:val="none"/>
        </w:rPr>
      </w:pPr>
      <w:r>
        <w:rPr>
          <w:rFonts w:hint="eastAsia" w:ascii="宋体" w:hAnsi="宋体" w:eastAsia="宋体" w:cs="宋体"/>
          <w:color w:val="auto"/>
          <w:highlight w:val="none"/>
          <w:shd w:val="clear" w:color="auto" w:fill="FFFFFF"/>
          <w:lang w:val="en-US" w:eastAsia="zh-CN"/>
        </w:rPr>
        <w:t>（</w:t>
      </w:r>
      <w:r>
        <w:rPr>
          <w:rFonts w:hint="eastAsia" w:cs="宋体"/>
          <w:color w:val="auto"/>
          <w:highlight w:val="none"/>
          <w:shd w:val="clear" w:color="auto" w:fill="FFFFFF"/>
          <w:lang w:val="en-US" w:eastAsia="zh-CN"/>
        </w:rPr>
        <w:t>9</w:t>
      </w:r>
      <w:r>
        <w:rPr>
          <w:rFonts w:hint="eastAsia" w:ascii="宋体" w:hAnsi="宋体" w:eastAsia="宋体" w:cs="宋体"/>
          <w:color w:val="auto"/>
          <w:highlight w:val="none"/>
          <w:shd w:val="clear" w:color="auto" w:fill="FFFFFF"/>
          <w:lang w:val="en-US" w:eastAsia="zh-CN"/>
        </w:rPr>
        <w:t>）因项目特殊性，</w:t>
      </w:r>
      <w:r>
        <w:rPr>
          <w:rFonts w:hint="eastAsia" w:cs="宋体"/>
          <w:color w:val="auto"/>
          <w:highlight w:val="none"/>
          <w:shd w:val="clear" w:color="auto" w:fill="FFFFFF"/>
          <w:lang w:val="en-US" w:eastAsia="zh-CN"/>
        </w:rPr>
        <w:t>应征人</w:t>
      </w:r>
      <w:r>
        <w:rPr>
          <w:rFonts w:hint="eastAsia" w:ascii="宋体" w:hAnsi="宋体" w:eastAsia="宋体" w:cs="宋体"/>
          <w:color w:val="auto"/>
          <w:highlight w:val="none"/>
          <w:shd w:val="clear" w:color="auto" w:fill="FFFFFF"/>
          <w:lang w:val="en-US" w:eastAsia="zh-CN"/>
        </w:rPr>
        <w:t>须无条件根据征集人的要求开展全过程造价咨询工作，本项目分阶段实施，根据分阶段实施进度安排资金并分阶段支付，</w:t>
      </w:r>
      <w:r>
        <w:rPr>
          <w:rFonts w:hint="eastAsia" w:cs="宋体"/>
          <w:color w:val="auto"/>
          <w:highlight w:val="none"/>
          <w:shd w:val="clear" w:color="auto" w:fill="FFFFFF"/>
          <w:lang w:val="en-US" w:eastAsia="zh-CN"/>
        </w:rPr>
        <w:t>应征人</w:t>
      </w:r>
      <w:r>
        <w:rPr>
          <w:rFonts w:hint="eastAsia" w:ascii="宋体" w:hAnsi="宋体" w:eastAsia="宋体" w:cs="宋体"/>
          <w:color w:val="auto"/>
          <w:highlight w:val="none"/>
          <w:shd w:val="clear" w:color="auto" w:fill="FFFFFF"/>
          <w:lang w:val="en-US" w:eastAsia="zh-CN"/>
        </w:rPr>
        <w:t>不得因局部工作内容范围调整或者资金问题向征集人提出索赔。</w:t>
      </w:r>
    </w:p>
    <w:p>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（二）人员要求：</w:t>
      </w:r>
    </w:p>
    <w:p>
      <w:pPr>
        <w:pStyle w:val="10"/>
        <w:spacing w:before="0" w:beforeAutospacing="0" w:after="0" w:afterAutospacing="0" w:line="360" w:lineRule="auto"/>
        <w:ind w:firstLine="480" w:firstLineChars="200"/>
        <w:rPr>
          <w:rFonts w:hint="eastAsia" w:ascii="宋体" w:hAnsi="宋体"/>
          <w:color w:val="auto"/>
          <w:kern w:val="2"/>
          <w:sz w:val="24"/>
          <w:szCs w:val="24"/>
          <w:highlight w:val="none"/>
          <w:u w:val="none"/>
          <w:shd w:val="clear" w:color="auto" w:fill="FFFFFF"/>
        </w:rPr>
      </w:pPr>
      <w:r>
        <w:rPr>
          <w:rFonts w:hint="eastAsia" w:ascii="宋体" w:hAnsi="宋体"/>
          <w:color w:val="auto"/>
          <w:kern w:val="2"/>
          <w:sz w:val="24"/>
          <w:szCs w:val="24"/>
          <w:highlight w:val="none"/>
          <w:u w:val="none"/>
          <w:shd w:val="clear" w:color="auto" w:fill="FFFFFF"/>
        </w:rPr>
        <w:t>1.人员配置要求：投标单位需承诺在本项目投入不少于2名注册造价工程师（土建专业1人、安装专业1人），不少于4名造价员（土建专业2人、安装专业2人）；</w:t>
      </w:r>
    </w:p>
    <w:p>
      <w:pPr>
        <w:tabs>
          <w:tab w:val="left" w:pos="0"/>
          <w:tab w:val="left" w:pos="1146"/>
        </w:tabs>
        <w:spacing w:line="360" w:lineRule="auto"/>
        <w:ind w:left="0" w:leftChars="0" w:firstLine="480" w:firstLineChars="200"/>
        <w:rPr>
          <w:rFonts w:ascii="宋体" w:hAnsi="宋体" w:cs="宋体"/>
          <w:color w:val="auto"/>
          <w:kern w:val="0"/>
          <w:sz w:val="24"/>
          <w:highlight w:val="none"/>
        </w:rPr>
      </w:pPr>
      <w:r>
        <w:rPr>
          <w:rFonts w:hint="eastAsia" w:ascii="宋体" w:hAnsi="宋体"/>
          <w:color w:val="auto"/>
          <w:kern w:val="2"/>
          <w:sz w:val="24"/>
          <w:szCs w:val="24"/>
          <w:highlight w:val="none"/>
          <w:u w:val="none"/>
          <w:shd w:val="clear" w:color="auto" w:fill="FFFFFF"/>
        </w:rPr>
        <w:t>2.人员驻场要求：项目开始启动时至服务期结束，派遣不少于1名驻场人员（具备一级造价师或同等职业资格，具有5年以上造价管理经验，熟悉全过程造价管理流程），服从招标人管理，常驻招标人场地开展项目相关造价服务工作以及招标人安排的其他工作。</w:t>
      </w:r>
    </w:p>
    <w:p>
      <w:pPr>
        <w:tabs>
          <w:tab w:val="left" w:pos="0"/>
          <w:tab w:val="left" w:pos="1146"/>
        </w:tabs>
        <w:spacing w:line="360" w:lineRule="auto"/>
        <w:ind w:left="315" w:leftChars="150" w:firstLine="240" w:firstLineChars="100"/>
        <w:rPr>
          <w:rFonts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三</w:t>
      </w:r>
      <w:r>
        <w:rPr>
          <w:rFonts w:ascii="宋体" w:hAnsi="宋体" w:cs="宋体"/>
          <w:color w:val="auto"/>
          <w:kern w:val="0"/>
          <w:sz w:val="24"/>
          <w:highlight w:val="none"/>
        </w:rPr>
        <w:t>)</w:t>
      </w:r>
      <w:r>
        <w:rPr>
          <w:rFonts w:hint="eastAsia" w:ascii="宋体" w:hAnsi="宋体" w:cs="宋体"/>
          <w:color w:val="auto"/>
          <w:kern w:val="0"/>
          <w:sz w:val="24"/>
          <w:highlight w:val="none"/>
        </w:rPr>
        <w:t>质量要求</w:t>
      </w:r>
    </w:p>
    <w:p>
      <w:pPr>
        <w:tabs>
          <w:tab w:val="left" w:pos="0"/>
          <w:tab w:val="left" w:pos="1146"/>
        </w:tabs>
        <w:spacing w:line="360" w:lineRule="auto"/>
        <w:ind w:firstLine="412" w:firstLineChars="172"/>
        <w:rPr>
          <w:rFonts w:ascii="宋体" w:hAnsi="宋体" w:cs="宋体"/>
          <w:color w:val="auto"/>
          <w:kern w:val="0"/>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s="宋体"/>
          <w:color w:val="auto"/>
          <w:kern w:val="0"/>
          <w:sz w:val="24"/>
          <w:highlight w:val="none"/>
        </w:rPr>
        <w:t>受托人应熟悉并严格按照国家、省、市有关财政、基建、工程造价方面的法律、法规，以及</w:t>
      </w:r>
      <w:r>
        <w:rPr>
          <w:rFonts w:hint="eastAsia" w:ascii="宋体" w:hAnsi="宋体" w:cs="宋体"/>
          <w:color w:val="auto"/>
          <w:kern w:val="0"/>
          <w:sz w:val="24"/>
          <w:highlight w:val="none"/>
          <w:lang w:val="en-US" w:eastAsia="zh-CN"/>
        </w:rPr>
        <w:t>委托人</w:t>
      </w:r>
      <w:r>
        <w:rPr>
          <w:rFonts w:hint="eastAsia" w:ascii="宋体" w:hAnsi="宋体" w:cs="宋体"/>
          <w:color w:val="auto"/>
          <w:kern w:val="0"/>
          <w:sz w:val="24"/>
          <w:highlight w:val="none"/>
        </w:rPr>
        <w:t>工程造价管理业务制度要求，依据合同相关约定，本着有依有据、合法合规的原则，科学、客观、公正地开展造价咨询工作，受托人提供的</w:t>
      </w:r>
      <w:r>
        <w:rPr>
          <w:rFonts w:hint="eastAsia" w:ascii="宋体" w:hAnsi="宋体" w:cs="宋体"/>
          <w:color w:val="auto"/>
          <w:sz w:val="24"/>
          <w:highlight w:val="none"/>
        </w:rPr>
        <w:t>工程造价咨询成果文件</w:t>
      </w:r>
      <w:r>
        <w:rPr>
          <w:rFonts w:hint="eastAsia" w:ascii="宋体" w:hAnsi="宋体" w:cs="宋体"/>
          <w:color w:val="auto"/>
          <w:kern w:val="0"/>
          <w:sz w:val="24"/>
          <w:highlight w:val="none"/>
        </w:rPr>
        <w:t>应合理体现</w:t>
      </w:r>
      <w:r>
        <w:rPr>
          <w:rFonts w:hint="eastAsia" w:ascii="宋体" w:hAnsi="宋体" w:cs="宋体"/>
          <w:color w:val="auto"/>
          <w:kern w:val="0"/>
          <w:sz w:val="24"/>
          <w:highlight w:val="none"/>
          <w:lang w:val="en-US" w:eastAsia="zh-CN"/>
        </w:rPr>
        <w:t>委托人</w:t>
      </w:r>
      <w:r>
        <w:rPr>
          <w:rFonts w:hint="eastAsia" w:ascii="宋体" w:hAnsi="宋体" w:cs="宋体"/>
          <w:color w:val="auto"/>
          <w:kern w:val="0"/>
          <w:sz w:val="24"/>
          <w:highlight w:val="none"/>
        </w:rPr>
        <w:t>控制项目投资的要求。</w:t>
      </w:r>
    </w:p>
    <w:p>
      <w:pPr>
        <w:tabs>
          <w:tab w:val="left" w:pos="0"/>
          <w:tab w:val="left" w:pos="1146"/>
        </w:tabs>
        <w:spacing w:line="360" w:lineRule="auto"/>
        <w:ind w:firstLine="412" w:firstLineChars="172"/>
        <w:rPr>
          <w:rFonts w:ascii="宋体" w:hAnsi="宋体" w:cs="宋体"/>
          <w:color w:val="auto"/>
          <w:kern w:val="0"/>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宋体"/>
          <w:color w:val="auto"/>
          <w:kern w:val="0"/>
          <w:sz w:val="24"/>
          <w:highlight w:val="none"/>
        </w:rPr>
        <w:t>项目建设实行全过程限额设计和施工。概算金额应低于项目立项批复的估算金额。在不降低勘察设计任务书、初步设计文件、材料设备技术需求书中的主要设计指标（建筑高度、建筑面积等）的前提下，确保施工图预算不超过有权审核部门审定工程设计概算中的建安工程费总额。竣工结算总金额不得超出实际实施范围所对应的批复概算金额。</w:t>
      </w:r>
    </w:p>
    <w:p>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ascii="宋体" w:hAnsi="宋体"/>
          <w:color w:val="auto"/>
          <w:sz w:val="24"/>
          <w:highlight w:val="none"/>
        </w:rPr>
        <w:t>3</w:t>
      </w:r>
      <w:r>
        <w:rPr>
          <w:rFonts w:hint="eastAsia" w:ascii="宋体" w:hAnsi="宋体"/>
          <w:color w:val="auto"/>
          <w:sz w:val="24"/>
          <w:highlight w:val="none"/>
        </w:rPr>
        <w:t>．受托人</w:t>
      </w:r>
      <w:r>
        <w:rPr>
          <w:rFonts w:hint="eastAsia" w:ascii="宋体" w:hAnsi="宋体" w:cs="宋体"/>
          <w:color w:val="auto"/>
          <w:kern w:val="0"/>
          <w:sz w:val="24"/>
          <w:highlight w:val="none"/>
        </w:rPr>
        <w:t>应确保本工程概算文件、施工图预算文件、招标工程量清单、招标控制价的编制（审核）工作质量，开项必须齐全、工程量必须准确、造价必须合理，并满足工程投资控制和合同的约定。</w:t>
      </w:r>
    </w:p>
    <w:p>
      <w:pPr>
        <w:tabs>
          <w:tab w:val="left" w:pos="0"/>
          <w:tab w:val="left" w:pos="1146"/>
        </w:tabs>
        <w:spacing w:line="360" w:lineRule="auto"/>
        <w:ind w:firstLine="412" w:firstLineChars="172"/>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受托人提供的造价成果文件应包括并不限于：编制说明、造价文件（含软件版）、工程量计算书、经济指标分析表、主要设备材料价格表、主要材料设备定价依据文件（含询价文件等）、审核意见落实情况说明和修改对比表等。</w:t>
      </w:r>
    </w:p>
    <w:p>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ascii="宋体" w:hAnsi="宋体"/>
          <w:color w:val="auto"/>
          <w:sz w:val="24"/>
          <w:highlight w:val="none"/>
        </w:rPr>
        <w:t>5</w:t>
      </w:r>
      <w:r>
        <w:rPr>
          <w:rFonts w:hint="eastAsia" w:ascii="宋体" w:hAnsi="宋体"/>
          <w:color w:val="auto"/>
          <w:sz w:val="24"/>
          <w:highlight w:val="none"/>
        </w:rPr>
        <w:t>．受托人</w:t>
      </w:r>
      <w:r>
        <w:rPr>
          <w:rFonts w:hint="eastAsia" w:ascii="宋体" w:hAnsi="宋体" w:cs="宋体"/>
          <w:color w:val="auto"/>
          <w:kern w:val="0"/>
          <w:sz w:val="24"/>
          <w:highlight w:val="none"/>
        </w:rPr>
        <w:t>应建立健全内部控制制度、质量保证体系和档案管理制度，保证工程造价咨询成果文件的质量，对其完整性、真实性、准确性、有效性负责，并负有保密责任。</w:t>
      </w:r>
    </w:p>
    <w:p>
      <w:pPr>
        <w:pStyle w:val="29"/>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确保工程造价咨询成果文件文字表达清晰、装订整齐。</w:t>
      </w:r>
    </w:p>
    <w:p>
      <w:pPr>
        <w:pStyle w:val="29"/>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确保工程造价咨询成果文件均由专业造价师（</w:t>
      </w:r>
      <w:r>
        <w:rPr>
          <w:rFonts w:hint="eastAsia" w:ascii="宋体" w:hAnsi="宋体" w:cs="宋体"/>
          <w:color w:val="auto"/>
          <w:sz w:val="24"/>
          <w:szCs w:val="24"/>
          <w:highlight w:val="none"/>
          <w:lang w:val="en-US" w:eastAsia="zh-CN"/>
        </w:rPr>
        <w:t>具备</w:t>
      </w:r>
      <w:r>
        <w:rPr>
          <w:rFonts w:hint="eastAsia" w:ascii="宋体" w:hAnsi="宋体" w:cs="宋体"/>
          <w:color w:val="auto"/>
          <w:kern w:val="0"/>
          <w:sz w:val="24"/>
          <w:szCs w:val="24"/>
          <w:highlight w:val="none"/>
          <w:lang w:bidi="ar"/>
        </w:rPr>
        <w:t>注册二级造价工程师或以上</w:t>
      </w:r>
      <w:r>
        <w:rPr>
          <w:rFonts w:hint="eastAsia" w:ascii="宋体" w:hAnsi="宋体" w:cs="宋体"/>
          <w:color w:val="auto"/>
          <w:kern w:val="0"/>
          <w:sz w:val="24"/>
          <w:szCs w:val="24"/>
          <w:highlight w:val="none"/>
          <w:lang w:val="en-US" w:eastAsia="zh-CN" w:bidi="ar"/>
        </w:rPr>
        <w:t>资格</w:t>
      </w:r>
      <w:r>
        <w:rPr>
          <w:rFonts w:hint="eastAsia" w:ascii="宋体" w:hAnsi="宋体" w:cs="宋体"/>
          <w:color w:val="auto"/>
          <w:sz w:val="24"/>
          <w:szCs w:val="24"/>
          <w:highlight w:val="none"/>
        </w:rPr>
        <w:t>）编制，由技术负责人（包括土建主管、安装主管）审核，由项目负责人或指挥长审定的三级审查制度。工程造价咨询成果文件的编制人为注册造价工程师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或注册一级造价</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rPr>
        <w:t>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或注册二级造价工程师，工程造价咨询成果文件的审核人、审定人应具有注册造价工程师或注册一级造价</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rPr>
        <w:t>师执业资格。工程造价咨询成果文件的编制人、审核人、审定人应在工程造价咨询的成果文件上签署执业</w:t>
      </w:r>
      <w:r>
        <w:rPr>
          <w:rFonts w:ascii="宋体" w:hAnsi="宋体" w:cs="宋体"/>
          <w:color w:val="auto"/>
          <w:sz w:val="24"/>
          <w:szCs w:val="24"/>
          <w:highlight w:val="none"/>
        </w:rPr>
        <w:t>(</w:t>
      </w:r>
      <w:r>
        <w:rPr>
          <w:rFonts w:hint="eastAsia" w:ascii="宋体" w:hAnsi="宋体" w:cs="宋体"/>
          <w:color w:val="auto"/>
          <w:sz w:val="24"/>
          <w:szCs w:val="24"/>
          <w:highlight w:val="none"/>
        </w:rPr>
        <w:t>或从业</w:t>
      </w:r>
      <w:r>
        <w:rPr>
          <w:rFonts w:ascii="宋体" w:hAnsi="宋体" w:cs="宋体"/>
          <w:color w:val="auto"/>
          <w:sz w:val="24"/>
          <w:szCs w:val="24"/>
          <w:highlight w:val="none"/>
        </w:rPr>
        <w:t>)</w:t>
      </w:r>
      <w:r>
        <w:rPr>
          <w:rFonts w:hint="eastAsia" w:ascii="宋体" w:hAnsi="宋体" w:cs="宋体"/>
          <w:color w:val="auto"/>
          <w:sz w:val="24"/>
          <w:szCs w:val="24"/>
          <w:highlight w:val="none"/>
        </w:rPr>
        <w:t>资格专用印章，最终的成果文件需经项目指挥长或法定代表人签字并加盖公章。</w:t>
      </w:r>
    </w:p>
    <w:p>
      <w:pPr>
        <w:pStyle w:val="29"/>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编制人</w:t>
      </w:r>
      <w:r>
        <w:rPr>
          <w:rFonts w:hint="eastAsia" w:ascii="宋体" w:hAnsi="宋体"/>
          <w:snapToGrid w:val="0"/>
          <w:color w:val="auto"/>
          <w:sz w:val="24"/>
          <w:highlight w:val="none"/>
        </w:rPr>
        <w:t>应认真阅读、复核委托人提供书面资料的有效性、合规性，</w:t>
      </w:r>
      <w:r>
        <w:rPr>
          <w:rFonts w:hint="eastAsia" w:ascii="宋体" w:hAnsi="宋体" w:cs="宋体"/>
          <w:color w:val="auto"/>
          <w:sz w:val="24"/>
          <w:szCs w:val="24"/>
          <w:highlight w:val="none"/>
        </w:rPr>
        <w:t>并应对自身所收集的工程计价基础资料和编制依据的全面性、真实性和适用性负责，全面进行工程的计量与计价，按工程造价咨询服务合同的要求编制工程造价咨询成果文件，并整理好工作过程文件。</w:t>
      </w:r>
    </w:p>
    <w:p>
      <w:pPr>
        <w:pStyle w:val="29"/>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审核人应进一步审核</w:t>
      </w:r>
      <w:r>
        <w:rPr>
          <w:rFonts w:hint="eastAsia" w:ascii="宋体" w:hAnsi="宋体"/>
          <w:snapToGrid w:val="0"/>
          <w:color w:val="auto"/>
          <w:sz w:val="24"/>
          <w:highlight w:val="none"/>
        </w:rPr>
        <w:t>委托</w:t>
      </w:r>
      <w:r>
        <w:rPr>
          <w:rFonts w:hint="eastAsia" w:ascii="宋体" w:hAnsi="宋体" w:cs="宋体"/>
          <w:color w:val="auto"/>
          <w:sz w:val="24"/>
          <w:szCs w:val="24"/>
          <w:highlight w:val="none"/>
        </w:rPr>
        <w:t>人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pPr>
        <w:pStyle w:val="29"/>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审定人应再次审核</w:t>
      </w:r>
      <w:r>
        <w:rPr>
          <w:rFonts w:hint="eastAsia" w:ascii="宋体" w:hAnsi="宋体" w:cs="宋体"/>
          <w:color w:val="auto"/>
          <w:sz w:val="24"/>
          <w:szCs w:val="24"/>
          <w:highlight w:val="none"/>
          <w:lang w:val="en-US" w:eastAsia="zh-CN"/>
        </w:rPr>
        <w:t>委托人</w:t>
      </w:r>
      <w:r>
        <w:rPr>
          <w:rFonts w:hint="eastAsia" w:ascii="宋体" w:hAnsi="宋体" w:cs="宋体"/>
          <w:color w:val="auto"/>
          <w:sz w:val="24"/>
          <w:szCs w:val="24"/>
          <w:highlight w:val="none"/>
        </w:rPr>
        <w:t>提供的书面资料的有效性、合规性，编制人使用工程计价基础资料和编制依据的全面性、真实性和有效性，并应依据工程经济指标进行工程造价的合理性分析，对工程造价咨询质量进行整体控制。</w:t>
      </w:r>
    </w:p>
    <w:p>
      <w:pPr>
        <w:pStyle w:val="29"/>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受托人应建立工程造价咨询项目档案，保证项目资料的完整，不得损坏、遗失项目资料。加强项目档案管理，及时做好已完成项目的资料移交和归档工作，妥善保管至报告出具之日起十年后。</w:t>
      </w:r>
    </w:p>
    <w:p>
      <w:pPr>
        <w:tabs>
          <w:tab w:val="left" w:pos="0"/>
          <w:tab w:val="left" w:pos="1146"/>
        </w:tabs>
        <w:spacing w:line="360" w:lineRule="auto"/>
        <w:ind w:left="315" w:leftChars="150"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）加强信息系统管理，及时建立电子信息台账；保证在</w:t>
      </w:r>
      <w:r>
        <w:rPr>
          <w:rFonts w:hint="eastAsia" w:ascii="宋体" w:hAnsi="宋体" w:cs="宋体"/>
          <w:color w:val="auto"/>
          <w:sz w:val="24"/>
          <w:szCs w:val="24"/>
          <w:highlight w:val="none"/>
          <w:lang w:val="en-US" w:eastAsia="zh-CN"/>
        </w:rPr>
        <w:t>委托人</w:t>
      </w:r>
      <w:r>
        <w:rPr>
          <w:rFonts w:hint="eastAsia" w:ascii="宋体" w:hAnsi="宋体" w:cs="宋体"/>
          <w:color w:val="auto"/>
          <w:sz w:val="24"/>
          <w:szCs w:val="24"/>
          <w:highlight w:val="none"/>
        </w:rPr>
        <w:t>信息系统中录入或审核的工程造价相关信息及时、完整。</w:t>
      </w:r>
    </w:p>
    <w:p>
      <w:pPr>
        <w:tabs>
          <w:tab w:val="left" w:pos="0"/>
          <w:tab w:val="left" w:pos="1146"/>
        </w:tabs>
        <w:spacing w:line="360" w:lineRule="auto"/>
        <w:ind w:left="315" w:leftChars="150" w:firstLine="120" w:firstLineChars="5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．审核工程量与进度款（即计量支付审核）；计量支付与进度相符，不得超付、借项支付等。</w:t>
      </w:r>
    </w:p>
    <w:p>
      <w:pPr>
        <w:tabs>
          <w:tab w:val="left" w:pos="900"/>
        </w:tabs>
        <w:adjustRightInd w:val="0"/>
        <w:snapToGrid w:val="0"/>
        <w:spacing w:line="560" w:lineRule="exact"/>
        <w:ind w:firstLine="480" w:firstLineChars="200"/>
        <w:rPr>
          <w:rFonts w:ascii="宋体" w:hAnsi="宋体" w:cs="宋体"/>
          <w:color w:val="auto"/>
          <w:kern w:val="0"/>
          <w:sz w:val="24"/>
          <w:highlight w:val="none"/>
          <w:u w:val="single"/>
        </w:rPr>
      </w:pPr>
      <w:r>
        <w:rPr>
          <w:rFonts w:ascii="宋体" w:hAnsi="宋体"/>
          <w:color w:val="auto"/>
          <w:sz w:val="24"/>
          <w:highlight w:val="none"/>
        </w:rPr>
        <w:t>7.</w:t>
      </w:r>
      <w:r>
        <w:rPr>
          <w:rFonts w:hint="eastAsia" w:ascii="宋体" w:hAnsi="宋体"/>
          <w:color w:val="auto"/>
          <w:sz w:val="24"/>
          <w:highlight w:val="none"/>
          <w:lang w:bidi="ar"/>
        </w:rPr>
        <w:t>造价咨询单位对所提交的咨询成果（含编制、审核成果）质量负责，各阶段的偏差率应控制在以下范围：投资估算审核偏差在±</w:t>
      </w:r>
      <w:r>
        <w:rPr>
          <w:rFonts w:ascii="宋体" w:hAnsi="宋体"/>
          <w:color w:val="auto"/>
          <w:sz w:val="24"/>
          <w:highlight w:val="none"/>
          <w:lang w:bidi="ar"/>
        </w:rPr>
        <w:t>16%以内；</w:t>
      </w:r>
      <w:r>
        <w:rPr>
          <w:rFonts w:hint="eastAsia" w:ascii="宋体" w:hAnsi="宋体"/>
          <w:color w:val="auto"/>
          <w:sz w:val="24"/>
          <w:highlight w:val="none"/>
          <w:lang w:bidi="ar"/>
        </w:rPr>
        <w:t>预算及招标控制价偏差在±</w:t>
      </w:r>
      <w:r>
        <w:rPr>
          <w:rFonts w:ascii="宋体" w:hAnsi="宋体"/>
          <w:color w:val="auto"/>
          <w:sz w:val="24"/>
          <w:highlight w:val="none"/>
          <w:lang w:bidi="ar"/>
        </w:rPr>
        <w:t>4%以内；竣工结算审核偏差在±4%以内；单项费用偏差±4%以内；单项工程量偏差在±5%以内；新增主材偏差在±20%以内。数据汇总、合同变更费用计算、结算评审结果准确。</w:t>
      </w:r>
    </w:p>
    <w:p>
      <w:pPr>
        <w:pStyle w:val="10"/>
        <w:spacing w:before="0" w:beforeAutospacing="0" w:after="0" w:afterAutospacing="0" w:line="480" w:lineRule="exact"/>
        <w:ind w:firstLine="472" w:firstLineChars="196"/>
        <w:rPr>
          <w:b/>
          <w:bCs/>
          <w:snapToGrid w:val="0"/>
          <w:color w:val="auto"/>
          <w:highlight w:val="none"/>
        </w:rPr>
      </w:pPr>
      <w:r>
        <w:rPr>
          <w:rFonts w:hint="eastAsia"/>
          <w:b/>
          <w:bCs/>
          <w:snapToGrid w:val="0"/>
          <w:color w:val="auto"/>
          <w:highlight w:val="none"/>
        </w:rPr>
        <w:t>五、甲方的权利和义务</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5.1甲方的权利</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5.1.1甲方有权向乙方询问工作进展情况及相关的内容，并要求乙方提交造价咨询服务业务范围内的专项报告。</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5.1.2甲方有权阐述对具体问题的意见和建议。</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5.1.3乙方派出的项目技术负责人、专业造价工作人员或驻场服务人员未能满足甲方要求时，甲方有权要求乙方更换相关人员，乙方应在收到甲方通知之日起3个日历天内按甲方要求完成更换。</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5.1.4当甲方认定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5.2甲方的义务</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5.2.1甲方应负责与本合同约定项目造价咨询业务有关的第三人的协调。</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5.2.2</w:t>
      </w:r>
      <w:r>
        <w:rPr>
          <w:rFonts w:hint="eastAsia"/>
          <w:snapToGrid w:val="0"/>
          <w:color w:val="auto"/>
          <w:highlight w:val="none"/>
        </w:rPr>
        <w:t>甲方</w:t>
      </w:r>
      <w:r>
        <w:rPr>
          <w:rFonts w:hint="eastAsia"/>
          <w:color w:val="auto"/>
          <w:highlight w:val="none"/>
        </w:rPr>
        <w:t>应及时将所拥有的且是乙方</w:t>
      </w:r>
      <w:r>
        <w:rPr>
          <w:rFonts w:hint="eastAsia"/>
          <w:snapToGrid w:val="0"/>
          <w:color w:val="auto"/>
          <w:highlight w:val="none"/>
        </w:rPr>
        <w:t>实施本合同约定项目造价咨询服务所必需的有关资料提供给乙方。</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5.2.3甲方应在3个工作日内对乙方书面提交并要求做出答复的事宜做出书面答复。乙方要求第三人提供有关资料时，甲方应负责转达及资料转送。</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5.2.4甲方指定为联系人，负责与乙方联系。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5.3甲</w:t>
      </w:r>
      <w:r>
        <w:rPr>
          <w:rFonts w:hint="eastAsia"/>
          <w:snapToGrid w:val="0"/>
          <w:color w:val="auto"/>
          <w:highlight w:val="none"/>
        </w:rPr>
        <w:t>方其它权利和义务详见本合同条款第四条及甲方造价管理制度及项目管理要求。</w:t>
      </w:r>
    </w:p>
    <w:p>
      <w:pPr>
        <w:pStyle w:val="10"/>
        <w:spacing w:before="0" w:beforeAutospacing="0" w:after="0" w:afterAutospacing="0" w:line="480" w:lineRule="exact"/>
        <w:ind w:firstLine="480" w:firstLineChars="200"/>
        <w:rPr>
          <w:snapToGrid w:val="0"/>
          <w:color w:val="auto"/>
          <w:highlight w:val="none"/>
        </w:rPr>
      </w:pPr>
      <w:r>
        <w:rPr>
          <w:rFonts w:hint="eastAsia"/>
          <w:snapToGrid w:val="0"/>
          <w:color w:val="auto"/>
          <w:highlight w:val="none"/>
        </w:rPr>
        <w:t>六、乙方的权利和义务</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6.1乙方的权利</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6.1.1服务期限内，乙方有到工程</w:t>
      </w:r>
      <w:r>
        <w:rPr>
          <w:rFonts w:hint="eastAsia"/>
          <w:color w:val="auto"/>
          <w:highlight w:val="none"/>
          <w:lang w:eastAsia="zh-CN"/>
        </w:rPr>
        <w:t>现场勘查</w:t>
      </w:r>
      <w:r>
        <w:rPr>
          <w:rFonts w:hint="eastAsia"/>
          <w:color w:val="auto"/>
          <w:highlight w:val="none"/>
        </w:rPr>
        <w:t>的权利。</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6.1.2乙方有权按照本合同约定获得服务报酬。</w:t>
      </w:r>
    </w:p>
    <w:p>
      <w:pPr>
        <w:pStyle w:val="10"/>
        <w:spacing w:before="0" w:beforeAutospacing="0" w:after="0" w:afterAutospacing="0" w:line="480" w:lineRule="exact"/>
        <w:ind w:firstLine="482" w:firstLineChars="200"/>
        <w:rPr>
          <w:b/>
          <w:color w:val="auto"/>
          <w:highlight w:val="none"/>
        </w:rPr>
      </w:pPr>
      <w:r>
        <w:rPr>
          <w:rFonts w:hint="eastAsia"/>
          <w:b/>
          <w:color w:val="auto"/>
          <w:highlight w:val="none"/>
        </w:rPr>
        <w:t>6.2乙方的义务</w:t>
      </w:r>
      <w:bookmarkStart w:id="3" w:name="_GoBack"/>
      <w:bookmarkEnd w:id="3"/>
    </w:p>
    <w:p>
      <w:pPr>
        <w:spacing w:line="4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6.2.1乙方应依据《工程造价咨询单位管理办法》（建设部74号令）、《造价工程师注册管理办法》（建设部75号令）及广东省、广州市相关规定及本合同约定、甲方要求实施本合同项下的咨询服务工作、提交工作成果。</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6.2.2乙方应按本合同约定派出项目技术负责人和专业造价工作人员，并按照甲方要求在甲方指定地点办公，为甲方提供全方位服务，保证造价咨询工作顺利进行。</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6.2.3服务期限内，乙方发现甲方提供的资料有缺陷、不明确或存在相互矛盾的，应及时书面通知甲方。</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6.2.4乙方在履行合同过程中接触到的甲方的文件、资料、信息，</w:t>
      </w:r>
      <w:r>
        <w:rPr>
          <w:rFonts w:hint="eastAsia"/>
          <w:snapToGrid w:val="0"/>
          <w:color w:val="auto"/>
          <w:highlight w:val="none"/>
        </w:rPr>
        <w:t>均应以绝密件对待；</w:t>
      </w:r>
      <w:r>
        <w:rPr>
          <w:rFonts w:hint="eastAsia"/>
          <w:color w:val="auto"/>
          <w:highlight w:val="none"/>
        </w:rPr>
        <w:t>未经甲方书面同意，不得提供给第三人，不得用于本合同以外的其他目的。</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6.2.5未经甲方的书面同意，乙方不得转让本合同约定的权利和义务。</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6.2.6乙方不得从事或参与可能损害甲方利益的任何活动。</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6.2.7未经甲方书面同意，乙方不得更换其派出技术负责人、专业造价工作人员及驻场服务人员。</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6.2.8乙方应当在3个工作日内对甲方或第三人书面提出并要求做出答复的事宜做出书面答复。</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6.2.9乙方应严格按照合同约定及甲方相关管理办法的规定从事咨询服务工作。</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6.2.10</w:t>
      </w:r>
      <w:r>
        <w:rPr>
          <w:color w:val="auto"/>
          <w:highlight w:val="none"/>
        </w:rPr>
        <w:t>乙方应确保造价咨询工作质量，工程量准确、造价合理，满足工程投资控制的要求</w:t>
      </w:r>
      <w:r>
        <w:rPr>
          <w:rFonts w:hint="eastAsia"/>
          <w:color w:val="auto"/>
          <w:highlight w:val="none"/>
        </w:rPr>
        <w:t>。</w:t>
      </w:r>
      <w:r>
        <w:rPr>
          <w:rFonts w:hint="eastAsia"/>
          <w:bCs/>
          <w:snapToGrid w:val="0"/>
          <w:color w:val="auto"/>
          <w:highlight w:val="none"/>
        </w:rPr>
        <w:t>否则应按本合同条款第8.2的约定承担</w:t>
      </w:r>
      <w:r>
        <w:rPr>
          <w:rFonts w:hint="eastAsia"/>
          <w:snapToGrid w:val="0"/>
          <w:color w:val="auto"/>
          <w:highlight w:val="none"/>
        </w:rPr>
        <w:t>违约责任。</w:t>
      </w:r>
    </w:p>
    <w:p>
      <w:pPr>
        <w:pStyle w:val="10"/>
        <w:spacing w:before="0" w:beforeAutospacing="0" w:after="0" w:afterAutospacing="0" w:line="480" w:lineRule="exact"/>
        <w:ind w:firstLine="482" w:firstLineChars="200"/>
        <w:rPr>
          <w:b/>
          <w:color w:val="auto"/>
          <w:highlight w:val="none"/>
        </w:rPr>
      </w:pPr>
      <w:r>
        <w:rPr>
          <w:rFonts w:hint="eastAsia"/>
          <w:b/>
          <w:color w:val="auto"/>
          <w:highlight w:val="none"/>
        </w:rPr>
        <w:t>七、服务报酬及其支付方式</w:t>
      </w:r>
    </w:p>
    <w:p>
      <w:pPr>
        <w:pStyle w:val="10"/>
        <w:spacing w:before="0" w:beforeAutospacing="0" w:after="0" w:afterAutospacing="0" w:line="480" w:lineRule="exact"/>
        <w:ind w:firstLine="480" w:firstLineChars="200"/>
        <w:rPr>
          <w:color w:val="auto"/>
          <w:highlight w:val="none"/>
        </w:rPr>
      </w:pPr>
      <w:r>
        <w:rPr>
          <w:rFonts w:hint="eastAsia" w:asciiTheme="minorEastAsia" w:hAnsiTheme="minorEastAsia" w:eastAsiaTheme="minorEastAsia"/>
          <w:color w:val="auto"/>
          <w:highlight w:val="none"/>
        </w:rPr>
        <w:t>7.1依据广东省物价局颁发的粤价函[2011]742号文《关于调整我省建设工程造价咨询服务收费的复函》规定和乙方投标承诺，结算按经审定的</w:t>
      </w:r>
      <w:r>
        <w:rPr>
          <w:rFonts w:hint="eastAsia" w:asciiTheme="minorEastAsia" w:hAnsiTheme="minorEastAsia" w:eastAsiaTheme="minorEastAsia"/>
          <w:color w:val="auto"/>
          <w:highlight w:val="none"/>
          <w:lang w:val="en-US" w:eastAsia="zh-CN"/>
        </w:rPr>
        <w:t>工程结算</w:t>
      </w:r>
      <w:r>
        <w:rPr>
          <w:rFonts w:hint="eastAsia" w:asciiTheme="minorEastAsia" w:hAnsiTheme="minorEastAsia" w:eastAsiaTheme="minorEastAsia"/>
          <w:color w:val="auto"/>
          <w:highlight w:val="none"/>
        </w:rPr>
        <w:t>对应的建安费作为计费基数进行结算，并</w:t>
      </w:r>
      <w:r>
        <w:rPr>
          <w:rFonts w:hint="eastAsia" w:cs="Times New Roman" w:asciiTheme="minorEastAsia" w:hAnsiTheme="minorEastAsia" w:eastAsiaTheme="minorEastAsia"/>
          <w:color w:val="auto"/>
          <w:highlight w:val="none"/>
        </w:rPr>
        <w:t>按照（20%+乙方中标的下浮系数即</w:t>
      </w:r>
      <w:r>
        <w:rPr>
          <w:rFonts w:hint="eastAsia" w:cs="Times New Roman" w:asciiTheme="minorEastAsia" w:hAnsiTheme="minorEastAsia" w:eastAsiaTheme="minorEastAsia"/>
          <w:color w:val="auto"/>
          <w:highlight w:val="none"/>
          <w:u w:val="single"/>
        </w:rPr>
        <w:t xml:space="preserve">   </w:t>
      </w:r>
      <w:r>
        <w:rPr>
          <w:rFonts w:hint="eastAsia" w:cs="Times New Roman" w:asciiTheme="minorEastAsia" w:hAnsiTheme="minorEastAsia" w:eastAsiaTheme="minorEastAsia"/>
          <w:color w:val="auto"/>
          <w:highlight w:val="none"/>
        </w:rPr>
        <w:t>%）计算，</w:t>
      </w:r>
      <w:r>
        <w:rPr>
          <w:rFonts w:hint="eastAsia" w:asciiTheme="minorEastAsia" w:hAnsiTheme="minorEastAsia" w:eastAsiaTheme="minorEastAsia"/>
          <w:color w:val="auto"/>
          <w:highlight w:val="none"/>
        </w:rPr>
        <w:t>最终以有权审核部门终审为准。</w:t>
      </w:r>
      <w:r>
        <w:rPr>
          <w:rFonts w:hint="eastAsia"/>
          <w:color w:val="auto"/>
          <w:highlight w:val="none"/>
        </w:rPr>
        <w:t>按上述约定计取的本合同服务报酬结算金额不得超过概算批复的对应费用。</w:t>
      </w:r>
    </w:p>
    <w:p>
      <w:pPr>
        <w:spacing w:line="480" w:lineRule="exact"/>
        <w:ind w:firstLine="480" w:firstLineChars="200"/>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本项目造价咨询服务费结算的计算式（万元）＝[100×12‰＋400×11‰＋500×10‰＋（</w:t>
      </w:r>
      <w:r>
        <w:rPr>
          <w:rFonts w:hint="eastAsia" w:asciiTheme="minorEastAsia" w:hAnsiTheme="minorEastAsia" w:eastAsiaTheme="minorEastAsia"/>
          <w:color w:val="auto"/>
          <w:sz w:val="24"/>
          <w:szCs w:val="24"/>
          <w:highlight w:val="none"/>
        </w:rPr>
        <w:t>经审定的</w:t>
      </w:r>
      <w:r>
        <w:rPr>
          <w:rFonts w:hint="eastAsia" w:asciiTheme="minorEastAsia" w:hAnsiTheme="minorEastAsia" w:eastAsiaTheme="minorEastAsia"/>
          <w:color w:val="auto"/>
          <w:sz w:val="24"/>
          <w:szCs w:val="24"/>
          <w:highlight w:val="none"/>
          <w:lang w:val="en-US" w:eastAsia="zh-CN"/>
        </w:rPr>
        <w:t>结算</w:t>
      </w:r>
      <w:r>
        <w:rPr>
          <w:rFonts w:hint="eastAsia" w:asciiTheme="minorEastAsia" w:hAnsiTheme="minorEastAsia" w:eastAsiaTheme="minorEastAsia"/>
          <w:color w:val="auto"/>
          <w:sz w:val="24"/>
          <w:szCs w:val="24"/>
          <w:highlight w:val="none"/>
        </w:rPr>
        <w:t>对应的建安费</w:t>
      </w:r>
      <w:r>
        <w:rPr>
          <w:rFonts w:hint="eastAsia"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lang w:val="en-US" w:eastAsia="zh-CN"/>
        </w:rPr>
        <w:t>1000</w:t>
      </w:r>
      <w:r>
        <w:rPr>
          <w:rFonts w:hint="eastAsia" w:cs="宋体" w:asciiTheme="minorEastAsia" w:hAnsiTheme="minorEastAsia"/>
          <w:color w:val="auto"/>
          <w:kern w:val="0"/>
          <w:sz w:val="24"/>
          <w:szCs w:val="24"/>
          <w:highlight w:val="none"/>
        </w:rPr>
        <w:t>）×</w:t>
      </w:r>
      <w:r>
        <w:rPr>
          <w:rFonts w:hint="eastAsia" w:cs="宋体" w:asciiTheme="minorEastAsia" w:hAnsiTheme="minorEastAsia"/>
          <w:color w:val="auto"/>
          <w:kern w:val="0"/>
          <w:sz w:val="24"/>
          <w:szCs w:val="24"/>
          <w:highlight w:val="none"/>
          <w:lang w:val="en-US" w:eastAsia="zh-CN"/>
        </w:rPr>
        <w:t>9</w:t>
      </w:r>
      <w:r>
        <w:rPr>
          <w:rFonts w:hint="eastAsia" w:cs="宋体" w:asciiTheme="minorEastAsia" w:hAnsiTheme="minorEastAsia"/>
          <w:color w:val="auto"/>
          <w:kern w:val="0"/>
          <w:sz w:val="24"/>
          <w:szCs w:val="24"/>
          <w:highlight w:val="none"/>
        </w:rPr>
        <w:t>‰] ×（1-20%-乙方投标承诺的下浮系数</w:t>
      </w:r>
      <w:r>
        <w:rPr>
          <w:rFonts w:hint="eastAsia" w:cs="宋体" w:asciiTheme="minorEastAsia" w:hAnsiTheme="minorEastAsia" w:eastAsiaTheme="minorEastAsia"/>
          <w:color w:val="auto"/>
          <w:kern w:val="0"/>
          <w:sz w:val="24"/>
          <w:szCs w:val="24"/>
          <w:highlight w:val="none"/>
        </w:rPr>
        <w:t>即</w:t>
      </w:r>
      <w:r>
        <w:rPr>
          <w:rFonts w:hint="eastAsia" w:cs="宋体" w:asciiTheme="minorEastAsia" w:hAnsiTheme="minorEastAsia" w:eastAsiaTheme="minorEastAsia"/>
          <w:color w:val="auto"/>
          <w:kern w:val="0"/>
          <w:sz w:val="24"/>
          <w:szCs w:val="24"/>
          <w:highlight w:val="none"/>
          <w:u w:val="single"/>
        </w:rPr>
        <w:t xml:space="preserve">   %</w:t>
      </w:r>
      <w:r>
        <w:rPr>
          <w:rFonts w:hint="eastAsia" w:cs="宋体" w:asciiTheme="minorEastAsia" w:hAnsiTheme="minorEastAsia"/>
          <w:color w:val="auto"/>
          <w:kern w:val="0"/>
          <w:sz w:val="24"/>
          <w:szCs w:val="24"/>
          <w:highlight w:val="none"/>
        </w:rPr>
        <w:t>）</w:t>
      </w:r>
    </w:p>
    <w:p>
      <w:pPr>
        <w:pStyle w:val="19"/>
        <w:spacing w:line="480" w:lineRule="exact"/>
        <w:ind w:right="144" w:firstLine="480" w:firstLineChars="200"/>
        <w:contextualSpacing/>
        <w:jc w:val="both"/>
        <w:rPr>
          <w:color w:val="auto"/>
          <w:highlight w:val="none"/>
          <w:lang w:val="zh-CN"/>
        </w:rPr>
      </w:pPr>
      <w:r>
        <w:rPr>
          <w:rFonts w:hint="eastAsia"/>
          <w:color w:val="auto"/>
          <w:highlight w:val="none"/>
        </w:rPr>
        <w:t>服务报酬</w:t>
      </w:r>
      <w:r>
        <w:rPr>
          <w:rFonts w:hint="eastAsia"/>
          <w:color w:val="auto"/>
          <w:highlight w:val="none"/>
          <w:lang w:val="zh-CN"/>
        </w:rPr>
        <w:t>包含投入委托项目的管理、交通、食宿、文件制作、驻场以及包含所有税费等一切费用，同时也包含在服务过程中出现特殊情况如乙方服务人员必须加班或甲方要求乙方服务人员加班而产生的加班费用等诸如此类的所有费用，乙方应综合考虑。乙方工作范围内的配合甲方合同签订、组卷、提供其他与造价控制有关的技术服务（如主要材料市场信息及经济指标的比较分析）等工作的相关费用已包括在上述费用中，不再另行计费。除本合同另有约定外，乙方不得再向甲方要求支付其它任何费用。</w:t>
      </w:r>
    </w:p>
    <w:p>
      <w:pPr>
        <w:pStyle w:val="5"/>
        <w:spacing w:line="480" w:lineRule="exact"/>
        <w:ind w:left="0" w:firstLine="480" w:firstLineChars="200"/>
        <w:contextualSpacing/>
        <w:rPr>
          <w:rFonts w:hAnsi="宋体"/>
          <w:color w:val="auto"/>
          <w:sz w:val="24"/>
          <w:szCs w:val="24"/>
          <w:highlight w:val="none"/>
          <w:lang w:val="zh-CN"/>
        </w:rPr>
      </w:pPr>
      <w:r>
        <w:rPr>
          <w:rFonts w:hAnsi="宋体"/>
          <w:color w:val="auto"/>
          <w:sz w:val="24"/>
          <w:szCs w:val="24"/>
          <w:highlight w:val="none"/>
          <w:lang w:val="zh-CN"/>
        </w:rPr>
        <w:t>7.2服务报酬支付方式</w:t>
      </w:r>
    </w:p>
    <w:p>
      <w:pPr>
        <w:spacing w:line="480" w:lineRule="exact"/>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7.2.1本合同签订生效，乙方可向甲方提出申请支付本合同约定报酬的</w:t>
      </w:r>
      <w:r>
        <w:rPr>
          <w:rFonts w:hint="eastAsia" w:ascii="宋体" w:hAnsi="宋体"/>
          <w:color w:val="auto"/>
          <w:sz w:val="24"/>
          <w:szCs w:val="24"/>
          <w:highlight w:val="none"/>
          <w:lang w:val="en-US" w:eastAsia="zh-CN"/>
        </w:rPr>
        <w:t>1</w:t>
      </w:r>
      <w:r>
        <w:rPr>
          <w:rFonts w:ascii="宋体" w:hAnsi="宋体"/>
          <w:color w:val="auto"/>
          <w:sz w:val="24"/>
          <w:szCs w:val="24"/>
          <w:highlight w:val="none"/>
        </w:rPr>
        <w:t>0</w:t>
      </w:r>
      <w:r>
        <w:rPr>
          <w:rFonts w:ascii="宋体" w:hAnsi="宋体"/>
          <w:color w:val="auto"/>
          <w:sz w:val="24"/>
          <w:szCs w:val="24"/>
          <w:highlight w:val="none"/>
          <w:lang w:val="zh-CN"/>
        </w:rPr>
        <w:t>%，</w:t>
      </w:r>
      <w:r>
        <w:rPr>
          <w:rFonts w:hint="eastAsia" w:ascii="宋体" w:hAnsi="宋体"/>
          <w:snapToGrid w:val="0"/>
          <w:color w:val="auto"/>
          <w:kern w:val="0"/>
          <w:sz w:val="24"/>
          <w:highlight w:val="none"/>
        </w:rPr>
        <w:t>甲方应在收到乙方款项申请手续并审核确认报财政部门办理支付</w:t>
      </w:r>
      <w:r>
        <w:rPr>
          <w:rFonts w:hint="eastAsia" w:ascii="宋体" w:hAnsi="宋体"/>
          <w:color w:val="auto"/>
          <w:sz w:val="24"/>
          <w:szCs w:val="24"/>
          <w:highlight w:val="none"/>
          <w:lang w:val="zh-CN"/>
        </w:rPr>
        <w:t>；</w:t>
      </w:r>
    </w:p>
    <w:p>
      <w:pPr>
        <w:spacing w:line="480" w:lineRule="exact"/>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7.2.2本项目概算批复后，乙方可向甲方提出申请支付本合同约定报酬的10%，</w:t>
      </w:r>
      <w:r>
        <w:rPr>
          <w:rFonts w:hint="eastAsia" w:ascii="宋体" w:hAnsi="宋体"/>
          <w:snapToGrid w:val="0"/>
          <w:color w:val="auto"/>
          <w:kern w:val="0"/>
          <w:sz w:val="24"/>
          <w:highlight w:val="none"/>
        </w:rPr>
        <w:t>甲方应在收到乙方款项申请手续并审核确认报财政部门办理支付</w:t>
      </w:r>
      <w:r>
        <w:rPr>
          <w:rFonts w:hint="eastAsia" w:ascii="宋体" w:hAnsi="宋体"/>
          <w:color w:val="auto"/>
          <w:sz w:val="24"/>
          <w:szCs w:val="24"/>
          <w:highlight w:val="none"/>
          <w:lang w:val="zh-CN"/>
        </w:rPr>
        <w:t>；</w:t>
      </w:r>
    </w:p>
    <w:p>
      <w:pPr>
        <w:spacing w:line="480" w:lineRule="exact"/>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7.2.3在施工阶段，乙方可结合施工阶段造价咨询服务工作量完成比例</w:t>
      </w:r>
      <w:r>
        <w:rPr>
          <w:rFonts w:hint="eastAsia" w:ascii="宋体" w:hAnsi="宋体"/>
          <w:color w:val="auto"/>
          <w:sz w:val="24"/>
          <w:szCs w:val="24"/>
          <w:highlight w:val="none"/>
          <w:lang w:val="zh-CN"/>
        </w:rPr>
        <w:t>申请相应进度款，完工前累计支付不超过合同价的</w:t>
      </w:r>
      <w:r>
        <w:rPr>
          <w:rFonts w:ascii="宋体" w:hAnsi="宋体"/>
          <w:color w:val="auto"/>
          <w:sz w:val="24"/>
          <w:szCs w:val="24"/>
          <w:highlight w:val="none"/>
        </w:rPr>
        <w:t>60%，</w:t>
      </w:r>
      <w:r>
        <w:rPr>
          <w:rFonts w:hint="eastAsia" w:ascii="宋体" w:hAnsi="宋体"/>
          <w:snapToGrid w:val="0"/>
          <w:color w:val="auto"/>
          <w:kern w:val="0"/>
          <w:sz w:val="24"/>
          <w:highlight w:val="none"/>
        </w:rPr>
        <w:t>甲方应在收到乙方款项申请手续并审核确认报财政部门办理支付</w:t>
      </w:r>
      <w:r>
        <w:rPr>
          <w:rFonts w:ascii="宋体" w:hAnsi="宋体"/>
          <w:color w:val="auto"/>
          <w:sz w:val="24"/>
          <w:szCs w:val="24"/>
          <w:highlight w:val="none"/>
          <w:lang w:val="zh-CN"/>
        </w:rPr>
        <w:t>；</w:t>
      </w:r>
    </w:p>
    <w:p>
      <w:pPr>
        <w:spacing w:line="480" w:lineRule="exact"/>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7.2.4</w:t>
      </w:r>
      <w:r>
        <w:rPr>
          <w:rFonts w:ascii="宋体" w:hAnsi="宋体"/>
          <w:color w:val="auto"/>
          <w:sz w:val="24"/>
          <w:szCs w:val="24"/>
          <w:highlight w:val="none"/>
          <w:lang w:val="zh-CN"/>
        </w:rPr>
        <w:t>乙方已完成</w:t>
      </w:r>
      <w:r>
        <w:rPr>
          <w:rFonts w:hint="eastAsia" w:ascii="宋体" w:hAnsi="宋体"/>
          <w:color w:val="auto"/>
          <w:sz w:val="24"/>
          <w:szCs w:val="24"/>
          <w:highlight w:val="none"/>
          <w:lang w:val="zh-CN"/>
        </w:rPr>
        <w:t>本项目</w:t>
      </w:r>
      <w:r>
        <w:rPr>
          <w:rFonts w:ascii="宋体" w:hAnsi="宋体"/>
          <w:color w:val="auto"/>
          <w:sz w:val="24"/>
          <w:szCs w:val="24"/>
          <w:highlight w:val="none"/>
          <w:lang w:val="zh-CN"/>
        </w:rPr>
        <w:t>所有</w:t>
      </w:r>
      <w:r>
        <w:rPr>
          <w:rFonts w:hint="eastAsia" w:ascii="宋体" w:hAnsi="宋体"/>
          <w:color w:val="auto"/>
          <w:sz w:val="24"/>
          <w:szCs w:val="24"/>
          <w:highlight w:val="none"/>
          <w:lang w:val="zh-CN"/>
        </w:rPr>
        <w:t>合同结算的审核且已提交结算审核成果文件至</w:t>
      </w:r>
      <w:r>
        <w:rPr>
          <w:rFonts w:ascii="宋体" w:hAnsi="宋体"/>
          <w:color w:val="auto"/>
          <w:sz w:val="24"/>
          <w:szCs w:val="24"/>
          <w:highlight w:val="none"/>
          <w:lang w:val="zh-CN"/>
        </w:rPr>
        <w:t>有权结算终审部门后，乙方可向甲方申请支付</w:t>
      </w:r>
      <w:r>
        <w:rPr>
          <w:rFonts w:hint="eastAsia" w:ascii="宋体" w:hAnsi="宋体"/>
          <w:color w:val="auto"/>
          <w:sz w:val="24"/>
          <w:szCs w:val="24"/>
          <w:highlight w:val="none"/>
          <w:lang w:val="zh-CN"/>
        </w:rPr>
        <w:t>本合同约定报酬的15%，</w:t>
      </w:r>
      <w:r>
        <w:rPr>
          <w:rFonts w:hint="eastAsia" w:ascii="宋体" w:hAnsi="宋体"/>
          <w:snapToGrid w:val="0"/>
          <w:color w:val="auto"/>
          <w:kern w:val="0"/>
          <w:sz w:val="24"/>
          <w:highlight w:val="none"/>
        </w:rPr>
        <w:t>甲方应在收到乙方款项申请手续并审核确认报财政部门办理支付</w:t>
      </w:r>
      <w:r>
        <w:rPr>
          <w:rFonts w:ascii="宋体" w:hAnsi="宋体"/>
          <w:color w:val="auto"/>
          <w:sz w:val="24"/>
          <w:szCs w:val="24"/>
          <w:highlight w:val="none"/>
          <w:lang w:val="zh-CN"/>
        </w:rPr>
        <w:t>。</w:t>
      </w:r>
    </w:p>
    <w:p>
      <w:pPr>
        <w:spacing w:line="480" w:lineRule="exact"/>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7.2.5</w:t>
      </w:r>
      <w:r>
        <w:rPr>
          <w:rFonts w:ascii="宋体" w:hAnsi="宋体"/>
          <w:color w:val="auto"/>
          <w:sz w:val="24"/>
          <w:szCs w:val="24"/>
          <w:highlight w:val="none"/>
          <w:lang w:val="zh-CN"/>
        </w:rPr>
        <w:t>乙方完成本合同</w:t>
      </w:r>
      <w:r>
        <w:rPr>
          <w:rFonts w:hint="eastAsia" w:ascii="宋体" w:hAnsi="宋体"/>
          <w:color w:val="auto"/>
          <w:sz w:val="24"/>
          <w:szCs w:val="24"/>
          <w:highlight w:val="none"/>
          <w:lang w:val="zh-CN"/>
        </w:rPr>
        <w:t>约定的</w:t>
      </w:r>
      <w:r>
        <w:rPr>
          <w:rFonts w:ascii="宋体" w:hAnsi="宋体"/>
          <w:color w:val="auto"/>
          <w:sz w:val="24"/>
          <w:szCs w:val="24"/>
          <w:highlight w:val="none"/>
          <w:lang w:val="zh-CN"/>
        </w:rPr>
        <w:t>所有工作内容且有权结算终审部门审定本合同结算金额后，乙方可向甲方申请支付至本合同结算酬金</w:t>
      </w:r>
      <w:r>
        <w:rPr>
          <w:rFonts w:hint="eastAsia" w:ascii="宋体" w:hAnsi="宋体"/>
          <w:color w:val="auto"/>
          <w:sz w:val="24"/>
          <w:szCs w:val="24"/>
          <w:highlight w:val="none"/>
          <w:lang w:val="zh-CN"/>
        </w:rPr>
        <w:t>的</w:t>
      </w:r>
      <w:r>
        <w:rPr>
          <w:rFonts w:hint="eastAsia" w:ascii="宋体" w:hAnsi="宋体"/>
          <w:color w:val="auto"/>
          <w:sz w:val="24"/>
          <w:szCs w:val="24"/>
          <w:highlight w:val="none"/>
        </w:rPr>
        <w:t>80</w:t>
      </w:r>
      <w:r>
        <w:rPr>
          <w:rFonts w:ascii="宋体" w:hAnsi="宋体"/>
          <w:color w:val="auto"/>
          <w:sz w:val="24"/>
          <w:szCs w:val="24"/>
          <w:highlight w:val="none"/>
          <w:lang w:val="zh-CN"/>
        </w:rPr>
        <w:t>%</w:t>
      </w:r>
      <w:r>
        <w:rPr>
          <w:rFonts w:hint="eastAsia" w:ascii="宋体" w:hAnsi="宋体"/>
          <w:color w:val="auto"/>
          <w:sz w:val="24"/>
          <w:szCs w:val="24"/>
          <w:highlight w:val="none"/>
          <w:lang w:val="zh-CN"/>
        </w:rPr>
        <w:t>，</w:t>
      </w:r>
      <w:r>
        <w:rPr>
          <w:rFonts w:hint="eastAsia" w:ascii="宋体" w:hAnsi="宋体"/>
          <w:snapToGrid w:val="0"/>
          <w:color w:val="auto"/>
          <w:kern w:val="0"/>
          <w:sz w:val="24"/>
          <w:highlight w:val="none"/>
        </w:rPr>
        <w:t>甲方应在收到乙方款项申请手续并审核确认报业主单位支付</w:t>
      </w:r>
      <w:r>
        <w:rPr>
          <w:rFonts w:ascii="宋体" w:hAnsi="宋体"/>
          <w:color w:val="auto"/>
          <w:sz w:val="24"/>
          <w:szCs w:val="24"/>
          <w:highlight w:val="none"/>
          <w:lang w:val="zh-CN"/>
        </w:rPr>
        <w:t>。</w:t>
      </w:r>
    </w:p>
    <w:p>
      <w:pPr>
        <w:spacing w:line="480" w:lineRule="exact"/>
        <w:ind w:firstLine="480"/>
        <w:rPr>
          <w:rFonts w:ascii="宋体" w:hAnsi="宋体"/>
          <w:strike/>
          <w:color w:val="auto"/>
          <w:sz w:val="24"/>
          <w:szCs w:val="24"/>
          <w:highlight w:val="none"/>
          <w:lang w:val="zh-CN"/>
        </w:rPr>
      </w:pPr>
      <w:r>
        <w:rPr>
          <w:rFonts w:hint="eastAsia" w:ascii="宋体" w:hAnsi="宋体"/>
          <w:color w:val="auto"/>
          <w:sz w:val="24"/>
          <w:szCs w:val="24"/>
          <w:highlight w:val="none"/>
          <w:lang w:val="zh-CN"/>
        </w:rPr>
        <w:t>7.2.6</w:t>
      </w:r>
      <w:r>
        <w:rPr>
          <w:rFonts w:ascii="宋体" w:hAnsi="宋体"/>
          <w:color w:val="auto"/>
          <w:sz w:val="24"/>
          <w:szCs w:val="24"/>
          <w:highlight w:val="none"/>
          <w:lang w:val="zh-CN"/>
        </w:rPr>
        <w:t>工程竣工结算经有权终审部门审定后，甲方</w:t>
      </w:r>
      <w:r>
        <w:rPr>
          <w:rFonts w:hint="eastAsia" w:ascii="宋体" w:hAnsi="宋体"/>
          <w:color w:val="auto"/>
          <w:sz w:val="24"/>
          <w:szCs w:val="24"/>
          <w:highlight w:val="none"/>
          <w:lang w:val="zh-CN"/>
        </w:rPr>
        <w:t>向</w:t>
      </w:r>
      <w:r>
        <w:rPr>
          <w:rFonts w:ascii="宋体" w:hAnsi="宋体"/>
          <w:color w:val="auto"/>
          <w:sz w:val="24"/>
          <w:szCs w:val="24"/>
          <w:highlight w:val="none"/>
          <w:lang w:val="zh-CN"/>
        </w:rPr>
        <w:t>乙方支付本合同结算酬金的</w:t>
      </w:r>
      <w:r>
        <w:rPr>
          <w:rFonts w:hint="eastAsia" w:ascii="宋体" w:hAnsi="宋体"/>
          <w:color w:val="auto"/>
          <w:sz w:val="24"/>
          <w:szCs w:val="24"/>
          <w:highlight w:val="none"/>
        </w:rPr>
        <w:t>20</w:t>
      </w:r>
      <w:r>
        <w:rPr>
          <w:rFonts w:ascii="宋体" w:hAnsi="宋体"/>
          <w:color w:val="auto"/>
          <w:sz w:val="24"/>
          <w:szCs w:val="24"/>
          <w:highlight w:val="none"/>
          <w:lang w:val="zh-CN"/>
        </w:rPr>
        <w:t>%</w:t>
      </w:r>
      <w:r>
        <w:rPr>
          <w:rFonts w:hint="eastAsia" w:ascii="宋体" w:hAnsi="宋体"/>
          <w:color w:val="auto"/>
          <w:sz w:val="24"/>
          <w:szCs w:val="24"/>
          <w:highlight w:val="none"/>
          <w:lang w:val="zh-CN"/>
        </w:rPr>
        <w:t>。</w:t>
      </w:r>
    </w:p>
    <w:p>
      <w:pPr>
        <w:spacing w:line="480" w:lineRule="exact"/>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7.2.7概算批复后，即根据概算批复及上述第7.1款调整实际支付金额。</w:t>
      </w:r>
    </w:p>
    <w:p>
      <w:pPr>
        <w:spacing w:line="480" w:lineRule="exact"/>
        <w:ind w:firstLine="480" w:firstLineChars="200"/>
        <w:rPr>
          <w:rFonts w:ascii="宋体" w:hAnsi="宋体"/>
          <w:snapToGrid w:val="0"/>
          <w:color w:val="auto"/>
          <w:sz w:val="24"/>
          <w:highlight w:val="none"/>
        </w:rPr>
      </w:pPr>
      <w:r>
        <w:rPr>
          <w:rFonts w:hint="eastAsia" w:ascii="宋体" w:hAnsi="宋体"/>
          <w:snapToGrid w:val="0"/>
          <w:color w:val="auto"/>
          <w:kern w:val="0"/>
          <w:sz w:val="24"/>
          <w:highlight w:val="none"/>
        </w:rPr>
        <w:t>7.3</w:t>
      </w:r>
      <w:r>
        <w:rPr>
          <w:rFonts w:hint="eastAsia" w:ascii="宋体" w:hAnsi="宋体"/>
          <w:snapToGrid w:val="0"/>
          <w:color w:val="auto"/>
          <w:sz w:val="24"/>
          <w:highlight w:val="none"/>
        </w:rPr>
        <w:t>双方一致同意，如本合同工程审计机关对于结算评审提出修正意见的，双方应当本着实事求是的原则予以纠正。</w:t>
      </w:r>
    </w:p>
    <w:p>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在委托人付款前，咨询人应当向委托人提供等额合法发票，如因咨询人未能及时提供前述发票而造成付款延误，不属委托人违约。前述服务酬金为包干价，包括但不限于完成咨询人本合同所有工作所需的人工、管理、保险、利润、税金、政策性文件规定及合同包含的所有风险、责任等各项费用。除本合同明确约定的费用外，委托人无需支付任何额外费用和承担任何额外义务。</w:t>
      </w:r>
    </w:p>
    <w:p>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结算方式：咨询人指定银行转账方式结算。咨询人须提前7个工作日提供合法有效的等额发票，否则委托人有权顺延付款。</w:t>
      </w:r>
    </w:p>
    <w:p>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咨询人指定以下账户为唯一收款账户：</w:t>
      </w:r>
    </w:p>
    <w:p>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账户名称： </w:t>
      </w:r>
    </w:p>
    <w:p>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开户银行： </w:t>
      </w:r>
    </w:p>
    <w:p>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银行账号： </w:t>
      </w:r>
    </w:p>
    <w:p>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向上述账户汇出款项后，即视为已履行付款义务，在汇款过程中，因咨询人账户的原因（包括但不限于账号被注销、被冻结等）导致其无法收取款项的，由咨询人承担相应后果。委托人有权直接在应付款项中扣除咨询人应承担违约金或赔偿金等。</w:t>
      </w:r>
    </w:p>
    <w:p>
      <w:pPr>
        <w:pStyle w:val="19"/>
        <w:spacing w:line="480" w:lineRule="exact"/>
        <w:ind w:right="144"/>
        <w:rPr>
          <w:rFonts w:ascii="黑体" w:eastAsia="黑体"/>
          <w:color w:val="auto"/>
          <w:sz w:val="44"/>
          <w:szCs w:val="44"/>
          <w:highlight w:val="none"/>
        </w:rPr>
      </w:pPr>
      <w:r>
        <w:rPr>
          <w:rFonts w:hint="eastAsia"/>
          <w:color w:val="auto"/>
          <w:highlight w:val="none"/>
          <w:lang w:val="zh-CN"/>
        </w:rPr>
        <w:t>注：上述费用包含投入本项目的管理、交通、食宿、文件制作以及包含所有税费等一切费用，同时也包括在服务过程中驻场人员费用、出现特殊因素造价人员必须加班或甲方要求加班的费用以及产生的所有费用，并考虑应承担的风险。</w:t>
      </w:r>
    </w:p>
    <w:p>
      <w:pPr>
        <w:pStyle w:val="19"/>
        <w:tabs>
          <w:tab w:val="left" w:pos="540"/>
        </w:tabs>
        <w:spacing w:line="480" w:lineRule="exact"/>
        <w:jc w:val="both"/>
        <w:rPr>
          <w:color w:val="auto"/>
          <w:highlight w:val="none"/>
        </w:rPr>
      </w:pPr>
      <w:r>
        <w:rPr>
          <w:rFonts w:hint="eastAsia"/>
          <w:b/>
          <w:color w:val="auto"/>
          <w:highlight w:val="none"/>
        </w:rPr>
        <w:t>八、违约责任</w:t>
      </w:r>
    </w:p>
    <w:p>
      <w:pPr>
        <w:pStyle w:val="10"/>
        <w:spacing w:before="0" w:beforeAutospacing="0" w:after="0" w:afterAutospacing="0" w:line="480" w:lineRule="exact"/>
        <w:ind w:firstLine="482" w:firstLineChars="200"/>
        <w:rPr>
          <w:b/>
          <w:color w:val="auto"/>
          <w:highlight w:val="none"/>
        </w:rPr>
      </w:pPr>
      <w:r>
        <w:rPr>
          <w:rFonts w:hint="eastAsia"/>
          <w:b/>
          <w:color w:val="auto"/>
          <w:highlight w:val="none"/>
        </w:rPr>
        <w:t>8.1甲方违约责任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若由于甲方原因造成未在本合同约定的支付期限内支付服务报酬，甲方除应继续支付服务报酬外，</w:t>
      </w:r>
      <w:r>
        <w:rPr>
          <w:rFonts w:hint="eastAsia"/>
          <w:snapToGrid w:val="0"/>
          <w:color w:val="auto"/>
          <w:highlight w:val="none"/>
        </w:rPr>
        <w:t>还应按银行同期活期存款利率给乙方计付款项拖欠期间的利息。</w:t>
      </w:r>
    </w:p>
    <w:p>
      <w:pPr>
        <w:pStyle w:val="10"/>
        <w:spacing w:before="0" w:beforeAutospacing="0" w:after="0" w:afterAutospacing="0" w:line="480" w:lineRule="exact"/>
        <w:ind w:firstLine="482" w:firstLineChars="200"/>
        <w:rPr>
          <w:b/>
          <w:color w:val="auto"/>
          <w:highlight w:val="none"/>
        </w:rPr>
      </w:pPr>
      <w:r>
        <w:rPr>
          <w:rFonts w:hint="eastAsia"/>
          <w:b/>
          <w:color w:val="auto"/>
          <w:highlight w:val="none"/>
        </w:rPr>
        <w:t>8.2乙方违约责任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8.2.1乙方承担违约责任的方式包括但不限于：</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（1）书面警告。乙方不履行或不完全履行合同或不执行甲方的指令时，甲方有权向乙方发出书面警告。乙方必须在书面警告限定的时间内履行义务或执行指令，否则应承担一次一般违约责任。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（2）一般违约责任。乙方违反本合同的约定须承担一般违约责任时，必须向甲方交纳违约金人民币5000元/次。</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（3）严重违约责任。乙方违反本合同的约定须承担严重违约责任时，必须向甲方交纳违约金人民币20000元/次。</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（4）下浮支付服务报酬。乙方的违约情节特别严重时，甲方有权在合同约定基础上再下浮支付服务报酬，累计下浮金额不超过服务报酬总额的50%。</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（5）赔偿损失。</w:t>
      </w:r>
      <w:r>
        <w:rPr>
          <w:color w:val="auto"/>
          <w:highlight w:val="none"/>
        </w:rPr>
        <w:t>因</w:t>
      </w:r>
      <w:r>
        <w:rPr>
          <w:rFonts w:hint="eastAsia"/>
          <w:color w:val="auto"/>
          <w:highlight w:val="none"/>
        </w:rPr>
        <w:t>乙方违约或工作失误给甲方造成</w:t>
      </w:r>
      <w:r>
        <w:rPr>
          <w:color w:val="auto"/>
          <w:highlight w:val="none"/>
        </w:rPr>
        <w:t>损失</w:t>
      </w:r>
      <w:r>
        <w:rPr>
          <w:rFonts w:hint="eastAsia"/>
          <w:color w:val="auto"/>
          <w:highlight w:val="none"/>
        </w:rPr>
        <w:t>的</w:t>
      </w:r>
      <w:r>
        <w:rPr>
          <w:color w:val="auto"/>
          <w:highlight w:val="none"/>
        </w:rPr>
        <w:t>，</w:t>
      </w:r>
      <w:r>
        <w:rPr>
          <w:rFonts w:hint="eastAsia"/>
          <w:color w:val="auto"/>
          <w:highlight w:val="none"/>
        </w:rPr>
        <w:t>乙方应向甲方赔偿与违约有直接或间接因果关系的所有损失，但</w:t>
      </w:r>
      <w:r>
        <w:rPr>
          <w:color w:val="auto"/>
          <w:highlight w:val="none"/>
        </w:rPr>
        <w:t>赔偿总额不应超过</w:t>
      </w:r>
      <w:r>
        <w:rPr>
          <w:rFonts w:hint="eastAsia"/>
          <w:color w:val="auto"/>
          <w:highlight w:val="none"/>
        </w:rPr>
        <w:t>服务报酬总额。如果损失是由于乙方故意或严重渎职造成的，乙方应全额赔偿由此给甲方所造成的损失。</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8.2.2三次书面警告另行追加一次一般违约责任，三次一般违约责任另行追加一次严重违约责任，累计三次严重违约责任，甲方有权解除合同。</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8.2.4组织管理方面的违约责任</w:t>
      </w:r>
    </w:p>
    <w:p>
      <w:pPr>
        <w:pStyle w:val="10"/>
        <w:numPr>
          <w:ilvl w:val="0"/>
          <w:numId w:val="2"/>
        </w:numPr>
        <w:spacing w:before="0" w:beforeAutospacing="0" w:after="0" w:afterAutospacing="0" w:line="480" w:lineRule="exact"/>
        <w:ind w:firstLine="480" w:firstLineChars="200"/>
        <w:rPr>
          <w:color w:val="auto"/>
          <w:highlight w:val="none"/>
        </w:rPr>
      </w:pPr>
      <w:r>
        <w:rPr>
          <w:rFonts w:hint="eastAsia"/>
          <w:color w:val="auto"/>
          <w:highlight w:val="none"/>
        </w:rPr>
        <w:t>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（2）乙方所配备的造价咨询人员不符合本合同约定的，甲方每发现一人次，有权要求乙方承担一次一般违约责任；同时乙方应在甲方规定的时间内改正，否则应另承担一次严重违约责任。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4）乙方违反本合同约定，所配备的造价咨询人员（含驻场人员）不按甲方的作息时间在甲方指定的地点驻场办公的，第一次将向乙方发出书面警告，乙方应在甲方规定的时间内改正，第二次以后，每违反一次按一次一般违约处理。</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（5）乙方违反本合同约定，未经甲方书面同意擅自更换造价咨询人员的，甲方有权发出书面警告，乙方应在甲方规定的时间内改正，否则应承担一次严重违约责任。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（6）乙方违反本合同约定，不按甲方的要求撤换不能胜任工作的造价咨询人员的，甲方有权发出书面警告，乙方应在甲方规定的时间内改正，否则应承担一次严重违约责任。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（7）甲方要求乙方有关人员必须参加的会议，有关人员必须到会，未经甲方同意不到会或不按期到会的，甲方有权给予书面警告。</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8.2.5工作进度方面的违约责任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1）乙方不按本合同约定的时间向甲方提交合格的造价咨询成果文件的，每延误一天，应按本合同服务报酬总额的1‰向甲方支付违约金；延误20天以上，除按上述约定继续支付违约金外并下浮10%支付服务报酬；延误30天以上，甲方有权解除合同。</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（3）乙方不按本合同约定的时间向甲方提交造价咨询工作报告和符合归档要求的造价咨询成果文件的，甲方支付服务报酬的时间相应顺延，且乙方须承担一次严重违约责任。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8.2.6服务质量方面的违约责任</w:t>
      </w:r>
    </w:p>
    <w:p>
      <w:pPr>
        <w:pStyle w:val="10"/>
        <w:spacing w:before="0" w:beforeAutospacing="0" w:after="0" w:afterAutospacing="0" w:line="480" w:lineRule="exact"/>
        <w:ind w:firstLine="480" w:firstLineChars="200"/>
        <w:rPr>
          <w:color w:val="auto"/>
          <w:highlight w:val="none"/>
        </w:rPr>
      </w:pPr>
      <w:bookmarkStart w:id="1" w:name="OLE_LINK19"/>
      <w:bookmarkStart w:id="2" w:name="OLE_LINK18"/>
      <w:r>
        <w:rPr>
          <w:rFonts w:hint="eastAsia"/>
          <w:color w:val="auto"/>
          <w:highlight w:val="none"/>
        </w:rPr>
        <w:t>（1）乙方提交的工作成果存在单项漏项或偏差金额（乙方金额与甲方复核金额之差的绝对值，下同）＜100万元的，按以下约定处理：</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漏项或偏差金额累计达到100万元以上且不超过500万元或</w:t>
      </w:r>
      <w:r>
        <w:rPr>
          <w:color w:val="auto"/>
          <w:highlight w:val="none"/>
        </w:rPr>
        <w:t>5</w:t>
      </w:r>
      <w:r>
        <w:rPr>
          <w:rFonts w:hint="eastAsia"/>
          <w:color w:val="auto"/>
          <w:highlight w:val="none"/>
        </w:rPr>
        <w:t>%≤偏差率（乙方金额与甲方复核金额之差的绝对值/甲方复核金额*100%，下同）＜</w:t>
      </w:r>
      <w:r>
        <w:rPr>
          <w:color w:val="auto"/>
          <w:highlight w:val="none"/>
        </w:rPr>
        <w:t>10</w:t>
      </w:r>
      <w:r>
        <w:rPr>
          <w:rFonts w:hint="eastAsia"/>
          <w:color w:val="auto"/>
          <w:highlight w:val="none"/>
        </w:rPr>
        <w:t>%时，甲方即有权要求乙方承担一次一般违约责任；最终确认漏项或偏差累计金额达到500万元以上或偏差率≥</w:t>
      </w:r>
      <w:r>
        <w:rPr>
          <w:color w:val="auto"/>
          <w:highlight w:val="none"/>
        </w:rPr>
        <w:t>10</w:t>
      </w:r>
      <w:r>
        <w:rPr>
          <w:rFonts w:hint="eastAsia"/>
          <w:color w:val="auto"/>
          <w:highlight w:val="none"/>
        </w:rPr>
        <w:t>%的，甲方有权要求乙方另行承担一次严重违约责任。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（2）乙方提交的工作成果存在单项漏项或偏差金额≥100万元的，每发现一次，甲方有权要求乙方承担一次严重违约责任。</w:t>
      </w:r>
      <w:bookmarkEnd w:id="1"/>
      <w:bookmarkEnd w:id="2"/>
    </w:p>
    <w:p>
      <w:pPr>
        <w:pStyle w:val="10"/>
        <w:spacing w:before="0" w:beforeAutospacing="0" w:after="0" w:afterAutospacing="0" w:line="480" w:lineRule="exact"/>
        <w:ind w:firstLine="480" w:firstLineChars="200"/>
        <w:rPr>
          <w:color w:val="auto"/>
          <w:highlight w:val="none"/>
        </w:rPr>
      </w:pPr>
      <w:r>
        <w:rPr>
          <w:rFonts w:hint="eastAsia"/>
          <w:color w:val="auto"/>
          <w:highlight w:val="none"/>
        </w:rPr>
        <w:t>乙方因承担本款违约责任支付的违约金总额累计不应超过本合同服务报酬暂定总额的50%。</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3）经查实乙方违反本合同约定或者由于乙方的其它原因，致使甲方被投诉的，甲方视情节严重程度有权要求乙方承担一次一般违约或以上的违约责任并且甲方还将下浮10%支付服务报酬。因此致使中标无效需要重新组织招标的，重新组织招标所需要的费用全部由乙方承担。</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4）乙方未按约定向有关部门提交全部招标控制价备案文件（如有），或有其他未妥善办理招标控制价备案手续的情形，致使开标时间延误的，每延误一天，应按本合同服务报酬总额的1‰向甲方支付违约金；延误20天以上，除按上述约定继续支付违约金外并下浮10%支付服务报酬；延误30天以上，甲方有权解除合同。</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（5）乙方对本合同约定有关工作事项故意拖延或者不作出明确处理意见的，每发生一次，乙方须承担一次一般违约责任。若因此给甲方造成损失的，乙方应赔偿甲方的全部损失。</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由于乙方原因，致使本合同项目在施工阶段中发生三类变更的，甲方有权要求乙方承担一次一般违约责任；发生二类变更的，乙方除应承担一次严重违约责任外；发生一类变更的，除下浮10%支付服务报酬外，还应向甲方赔偿相应的损失。</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（7）竣工结算总金额超出实际实施范围所对应的批复概算金额，下浮10%支付服务报酬。</w:t>
      </w:r>
    </w:p>
    <w:p>
      <w:pPr>
        <w:pStyle w:val="10"/>
        <w:spacing w:before="0" w:beforeAutospacing="0" w:after="0" w:afterAutospacing="0" w:line="480" w:lineRule="exact"/>
        <w:ind w:firstLine="480" w:firstLineChars="200"/>
        <w:rPr>
          <w:color w:val="auto"/>
          <w:highlight w:val="none"/>
        </w:rPr>
      </w:pPr>
      <w:r>
        <w:rPr>
          <w:rFonts w:hint="eastAsia"/>
          <w:bCs/>
          <w:color w:val="auto"/>
          <w:kern w:val="0"/>
          <w:szCs w:val="21"/>
          <w:highlight w:val="none"/>
        </w:rPr>
        <w:t>（8）如终审部门审定结算金额较由乙方审定结算金额差值大于正负4%，则由乙方按下列计算方法向甲方支付违约金，最多不超过本合同结算总额的10%：违约金=[〔（A－B）/B〕-4%]×C；其中：A-乙方审定结算金额；B-终审部门审定结算金额；C-本合同结算总额</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8.2.7工作纪律方面的违约责任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（1）对于异常情况，乙方不如实或不及时上报甲方甚至隐瞒不报的，一经核实，乙方须承担一次严重违约责任。若因此给甲方造成损失的，乙方应赔偿甲方的全部损失。</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（2）乙方违反本合同约定，接受了与本合同工程建设项目有关的咨询业务，甲方将如实通报政府有关部门，由政府有关部门对其进行处罚。若因此给甲方造成损失，乙方应赔偿甲方的全部损失。</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3）乙方违反本合同约定或法律规定，向第三方泄露与本合同工程有关的任何招投标资料和情况的，一经核实，甲方将如实通报政府有关部门，由政府有关部门对其进行处罚。若因此给甲方造成损失，乙方应赔偿甲方的全部损失。</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4）如发生任何对乙方的投诉情况，经查属实，甲方有权根据情节轻重要求乙方承担一次严重违约责任并且甲方还将下浮10%支付服务报酬。同时，甲方将视情况决定将乙方的违约行为通报有关政府主管部门，并建议有关部门暂停或取消乙方的相应资质。如因对乙方的投诉最终导致甲方被投诉的，同时按照本合同专用条款第8.2.6－（3）款执行。</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（5）乙方通过提供虚假信息，误导或欺骗等方式，谋取非法利益的；乙方未经甲方书面同意擅自将受托项目转委托给第三方的，每次均须承担严重违约责任一次。</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（6）乙方违反回避制度的；乙方拒绝接受甲方跟踪核查的；乙方不按要求保管甲方提供的相关资料的，每次均须承担一般违约责任一次。</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（7）乙方违反保密义务，每次均须承担严重违约责任一次，并承担其它相应的法律责任。</w:t>
      </w:r>
    </w:p>
    <w:p>
      <w:pPr>
        <w:pStyle w:val="10"/>
        <w:spacing w:before="0" w:beforeAutospacing="0" w:after="0" w:afterAutospacing="0" w:line="480" w:lineRule="exact"/>
        <w:ind w:firstLine="470" w:firstLineChars="196"/>
        <w:rPr>
          <w:color w:val="auto"/>
          <w:highlight w:val="none"/>
        </w:rPr>
      </w:pPr>
      <w:r>
        <w:rPr>
          <w:rFonts w:hint="eastAsia"/>
          <w:color w:val="auto"/>
          <w:highlight w:val="none"/>
        </w:rPr>
        <w:t>8.2.8乙方在项目工作质量考评中合格，但分数低于65分且有单项得分低于合格基准分的，甲方下浮10%支付造价咨询服务报酬，并要求乙方对相应单项进行整改，乙方必须无条件接受。</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8.2.9乙方向甲方提出的赔偿要求不能成立时，则应补偿由于该赔偿或其他要求所导致甲方的各种费用的支出。</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8.2.10除上述约定之外，乙方不履行或不完全履行合同其他义务的，均构成违约，应当承担一次一般违约责任。情节较轻的，可给予书面警告；情节较重的，应当承担一次严重违约责任。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8.2.11乙方违约责任的认定方式：</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以甲方发出的通知、通报、会议纪要等书面文件确定的内容为准。</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8.2.12在本合同有效期内，乙方的单位名称变更的，应及时以书面形式通知甲方；乙方法定代表人变更的，应在变更后15日内向甲方提交新法定代表人的职务、职称、联系电话、通信地址等信息。否则视为乙方违约，乙方应当承担一次一般违约责任。</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8.2.13乙方违约责任按各子项分别独立计算。</w:t>
      </w:r>
    </w:p>
    <w:p>
      <w:pPr>
        <w:pStyle w:val="10"/>
        <w:spacing w:before="0" w:beforeAutospacing="0" w:after="0" w:afterAutospacing="0" w:line="480" w:lineRule="exact"/>
        <w:ind w:firstLine="472" w:firstLineChars="196"/>
        <w:rPr>
          <w:color w:val="auto"/>
          <w:highlight w:val="none"/>
        </w:rPr>
      </w:pPr>
      <w:r>
        <w:rPr>
          <w:rFonts w:hint="eastAsia"/>
          <w:b/>
          <w:bCs/>
          <w:color w:val="auto"/>
          <w:highlight w:val="none"/>
        </w:rPr>
        <w:t>九、合同生效、变更与终止</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9.1本合同自双方法定代表人或委托代理人签字并加盖单位公章之日起生效。</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9.2由于甲方或第三人的原因使乙方工作受到阻碍或延误以致增加了工作量或持续时间，则乙方应当将此情况与可能产生的影响及时书面通知甲方，完成建设工程造价咨询工作的时间应当相应延长。</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9.3当事人一方要求变更或解除合同时，应当至少提前14日通知对方；因变更或解除合同使一方遭受损失的，应由责任方负责赔偿。</w:t>
      </w:r>
    </w:p>
    <w:p>
      <w:pPr>
        <w:pStyle w:val="10"/>
        <w:spacing w:before="0" w:beforeAutospacing="0" w:after="0" w:afterAutospacing="0" w:line="480" w:lineRule="exact"/>
        <w:ind w:firstLine="480" w:firstLineChars="200"/>
        <w:rPr>
          <w:color w:val="auto"/>
          <w:highlight w:val="none"/>
        </w:rPr>
      </w:pPr>
      <w:r>
        <w:rPr>
          <w:rFonts w:hint="eastAsia"/>
          <w:color w:val="auto"/>
          <w:highlight w:val="none"/>
        </w:rPr>
        <w:t>9.4本合同履行期间，如遇不可抗力，致使合同无法履行的，双方应按有关法律规定及时协商处理。</w:t>
      </w:r>
    </w:p>
    <w:p>
      <w:pPr>
        <w:pStyle w:val="10"/>
        <w:spacing w:before="0" w:beforeAutospacing="0" w:after="0" w:afterAutospacing="0" w:line="480" w:lineRule="exact"/>
        <w:ind w:firstLine="470" w:firstLineChars="196"/>
        <w:rPr>
          <w:snapToGrid w:val="0"/>
          <w:color w:val="auto"/>
          <w:highlight w:val="none"/>
        </w:rPr>
      </w:pPr>
      <w:r>
        <w:rPr>
          <w:rFonts w:hint="eastAsia"/>
          <w:snapToGrid w:val="0"/>
          <w:color w:val="auto"/>
          <w:highlight w:val="none"/>
        </w:rPr>
        <w:t>9.5变更或解除合同的通知或协议应当采取书面形式，新的协议未达成之前，原合同仍然有效。</w:t>
      </w:r>
    </w:p>
    <w:p>
      <w:pPr>
        <w:pStyle w:val="10"/>
        <w:spacing w:before="0" w:beforeAutospacing="0" w:after="0" w:afterAutospacing="0" w:line="480" w:lineRule="exact"/>
        <w:ind w:firstLine="472" w:firstLineChars="196"/>
        <w:rPr>
          <w:color w:val="auto"/>
          <w:highlight w:val="none"/>
        </w:rPr>
      </w:pPr>
      <w:r>
        <w:rPr>
          <w:rFonts w:hint="eastAsia"/>
          <w:b/>
          <w:bCs/>
          <w:color w:val="auto"/>
          <w:highlight w:val="none"/>
        </w:rPr>
        <w:t>十、合同争议的解决</w:t>
      </w:r>
    </w:p>
    <w:p>
      <w:pPr>
        <w:pStyle w:val="10"/>
        <w:spacing w:before="0" w:beforeAutospacing="0" w:after="0" w:afterAutospacing="0" w:line="480" w:lineRule="exact"/>
        <w:ind w:firstLine="470" w:firstLineChars="196"/>
        <w:rPr>
          <w:snapToGrid w:val="0"/>
          <w:color w:val="auto"/>
          <w:highlight w:val="none"/>
        </w:rPr>
      </w:pPr>
      <w:r>
        <w:rPr>
          <w:rFonts w:hint="eastAsia"/>
          <w:snapToGrid w:val="0"/>
          <w:color w:val="auto"/>
          <w:highlight w:val="none"/>
        </w:rPr>
        <w:t>凡因履行本合同而引起的一切争议或与本合同有关的争议，应由甲乙双方通过友好协商解决。协商不成时，任何一方均有权向甲方所在地人民法院提起诉讼。</w:t>
      </w:r>
    </w:p>
    <w:p>
      <w:pPr>
        <w:pStyle w:val="10"/>
        <w:spacing w:before="0" w:beforeAutospacing="0" w:after="0" w:afterAutospacing="0" w:line="480" w:lineRule="exact"/>
        <w:ind w:firstLine="470" w:firstLineChars="196"/>
        <w:rPr>
          <w:snapToGrid w:val="0"/>
          <w:color w:val="auto"/>
          <w:highlight w:val="none"/>
        </w:rPr>
      </w:pPr>
      <w:r>
        <w:rPr>
          <w:rFonts w:hint="eastAsia"/>
          <w:snapToGrid w:val="0"/>
          <w:color w:val="auto"/>
          <w:highlight w:val="none"/>
        </w:rPr>
        <w:t>乙方承诺：在争议解决期间，仍将尽职尽责继续完成甲方所委托的工作，否则甲方有权先行单方面解除本合同；如甲方决定先行单方面解除本合同的，我方（即乙方）立即无条件服从并将有关资料无偿移交甲方。</w:t>
      </w:r>
    </w:p>
    <w:p>
      <w:pPr>
        <w:pStyle w:val="10"/>
        <w:spacing w:before="0" w:beforeAutospacing="0" w:after="0" w:afterAutospacing="0" w:line="480" w:lineRule="exact"/>
        <w:ind w:firstLine="480" w:firstLineChars="200"/>
        <w:rPr>
          <w:color w:val="auto"/>
          <w:highlight w:val="none"/>
        </w:rPr>
      </w:pPr>
    </w:p>
    <w:p>
      <w:pPr>
        <w:pStyle w:val="10"/>
        <w:spacing w:before="0" w:beforeAutospacing="0" w:after="0" w:afterAutospacing="0" w:line="480" w:lineRule="exact"/>
        <w:ind w:firstLine="480" w:firstLineChars="200"/>
        <w:rPr>
          <w:color w:val="auto"/>
          <w:highlight w:val="none"/>
        </w:rPr>
      </w:pPr>
    </w:p>
    <w:p>
      <w:pPr>
        <w:pStyle w:val="10"/>
        <w:spacing w:before="0" w:beforeAutospacing="0" w:after="0" w:afterAutospacing="0" w:line="480" w:lineRule="exact"/>
        <w:ind w:firstLine="480" w:firstLineChars="200"/>
        <w:rPr>
          <w:color w:val="auto"/>
          <w:highlight w:val="none"/>
        </w:rPr>
      </w:pPr>
    </w:p>
    <w:p>
      <w:pPr>
        <w:pStyle w:val="10"/>
        <w:spacing w:before="0" w:beforeAutospacing="0" w:after="0" w:afterAutospacing="0" w:line="480" w:lineRule="exact"/>
        <w:ind w:firstLine="480" w:firstLineChars="200"/>
        <w:rPr>
          <w:color w:val="auto"/>
          <w:highlight w:val="none"/>
        </w:rPr>
      </w:pPr>
    </w:p>
    <w:p>
      <w:pPr>
        <w:pStyle w:val="10"/>
        <w:spacing w:before="0" w:beforeAutospacing="0" w:after="0" w:afterAutospacing="0" w:line="480" w:lineRule="exact"/>
        <w:ind w:firstLine="480" w:firstLineChars="200"/>
        <w:rPr>
          <w:color w:val="auto"/>
          <w:highlight w:val="none"/>
        </w:rPr>
      </w:pPr>
    </w:p>
    <w:p>
      <w:pPr>
        <w:pStyle w:val="10"/>
        <w:spacing w:before="0" w:beforeAutospacing="0" w:after="0" w:afterAutospacing="0" w:line="480" w:lineRule="exact"/>
        <w:ind w:firstLine="480" w:firstLineChars="200"/>
        <w:rPr>
          <w:color w:val="auto"/>
          <w:highlight w:val="none"/>
        </w:rPr>
      </w:pPr>
    </w:p>
    <w:p>
      <w:pPr>
        <w:pStyle w:val="10"/>
        <w:spacing w:before="0" w:beforeAutospacing="0" w:after="0" w:afterAutospacing="0" w:line="480" w:lineRule="exact"/>
        <w:ind w:firstLine="480" w:firstLineChars="200"/>
        <w:rPr>
          <w:color w:val="auto"/>
          <w:highlight w:val="none"/>
        </w:rPr>
      </w:pPr>
    </w:p>
    <w:p>
      <w:pPr>
        <w:pStyle w:val="10"/>
        <w:spacing w:before="0" w:beforeAutospacing="0" w:after="0" w:afterAutospacing="0" w:line="480" w:lineRule="exact"/>
        <w:ind w:firstLine="480" w:firstLineChars="200"/>
        <w:rPr>
          <w:color w:val="auto"/>
          <w:highlight w:val="none"/>
        </w:rPr>
      </w:pPr>
    </w:p>
    <w:p>
      <w:pPr>
        <w:pStyle w:val="10"/>
        <w:spacing w:before="0" w:beforeAutospacing="0" w:after="0" w:afterAutospacing="0" w:line="480" w:lineRule="exact"/>
        <w:ind w:firstLine="480" w:firstLineChars="200"/>
        <w:rPr>
          <w:color w:val="auto"/>
          <w:highlight w:val="none"/>
        </w:rPr>
      </w:pPr>
    </w:p>
    <w:p>
      <w:pPr>
        <w:pStyle w:val="10"/>
        <w:spacing w:before="0" w:beforeAutospacing="0" w:after="0" w:afterAutospacing="0" w:line="480" w:lineRule="exact"/>
        <w:ind w:firstLine="480" w:firstLineChars="200"/>
        <w:rPr>
          <w:color w:val="auto"/>
          <w:highlight w:val="none"/>
        </w:rPr>
      </w:pPr>
    </w:p>
    <w:p>
      <w:pPr>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br w:type="page"/>
      </w:r>
    </w:p>
    <w:p>
      <w:pPr>
        <w:spacing w:line="480" w:lineRule="exac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附件1：</w:t>
      </w:r>
    </w:p>
    <w:p>
      <w:pPr>
        <w:spacing w:line="480" w:lineRule="exact"/>
        <w:jc w:val="center"/>
        <w:rPr>
          <w:rFonts w:ascii="宋体" w:hAnsi="宋体"/>
          <w:b/>
          <w:color w:val="auto"/>
          <w:sz w:val="36"/>
          <w:szCs w:val="36"/>
          <w:highlight w:val="none"/>
        </w:rPr>
      </w:pPr>
      <w:r>
        <w:rPr>
          <w:rFonts w:hint="eastAsia" w:ascii="宋体" w:hAnsi="宋体"/>
          <w:b/>
          <w:color w:val="auto"/>
          <w:sz w:val="36"/>
          <w:szCs w:val="36"/>
          <w:highlight w:val="none"/>
        </w:rPr>
        <w:t>工程建设项目廉政责任书</w:t>
      </w:r>
    </w:p>
    <w:p>
      <w:pPr>
        <w:spacing w:line="480" w:lineRule="exact"/>
        <w:rPr>
          <w:rFonts w:ascii="宋体" w:hAnsi="宋体"/>
          <w:color w:val="auto"/>
          <w:highlight w:val="none"/>
        </w:rPr>
      </w:pPr>
    </w:p>
    <w:p>
      <w:pPr>
        <w:pStyle w:val="22"/>
        <w:spacing w:before="0" w:after="0" w:line="480" w:lineRule="exact"/>
        <w:ind w:left="0" w:right="0"/>
        <w:rPr>
          <w:rFonts w:ascii="宋体" w:hAnsi="宋体"/>
          <w:color w:val="auto"/>
          <w:kern w:val="2"/>
          <w:szCs w:val="24"/>
          <w:highlight w:val="none"/>
          <w:u w:val="single"/>
        </w:rPr>
      </w:pPr>
      <w:r>
        <w:rPr>
          <w:rFonts w:hint="eastAsia" w:ascii="宋体" w:hAnsi="宋体"/>
          <w:color w:val="auto"/>
          <w:highlight w:val="none"/>
        </w:rPr>
        <w:t>工程项目名称：</w:t>
      </w:r>
      <w:r>
        <w:rPr>
          <w:rFonts w:hint="eastAsia" w:ascii="宋体" w:hAnsi="宋体"/>
          <w:color w:val="auto"/>
          <w:highlight w:val="none"/>
          <w:u w:val="single"/>
          <w:lang w:eastAsia="zh-CN"/>
        </w:rPr>
        <w:t>大湾区中医康养片区老旧小区成片连片改造示范区项目全过程造价咨询服务</w:t>
      </w:r>
    </w:p>
    <w:p>
      <w:pPr>
        <w:spacing w:line="480" w:lineRule="exact"/>
        <w:rPr>
          <w:rFonts w:hint="default" w:ascii="宋体" w:hAnsi="宋体" w:eastAsia="宋体" w:cs="宋体"/>
          <w:color w:val="auto"/>
          <w:sz w:val="24"/>
          <w:szCs w:val="24"/>
          <w:highlight w:val="none"/>
          <w:u w:val="single"/>
          <w:lang w:val="en-US" w:eastAsia="zh-CN"/>
        </w:rPr>
      </w:pPr>
      <w:r>
        <w:rPr>
          <w:rFonts w:hint="eastAsia" w:ascii="宋体" w:hAnsi="宋体"/>
          <w:color w:val="auto"/>
          <w:sz w:val="24"/>
          <w:highlight w:val="none"/>
        </w:rPr>
        <w:t>工程项目地址：</w:t>
      </w:r>
      <w:r>
        <w:rPr>
          <w:rFonts w:hint="eastAsia" w:ascii="宋体" w:hAnsi="宋体" w:cs="宋体"/>
          <w:color w:val="auto"/>
          <w:sz w:val="24"/>
          <w:szCs w:val="24"/>
          <w:highlight w:val="none"/>
          <w:u w:val="single"/>
        </w:rPr>
        <w:t>广州市越秀区</w:t>
      </w:r>
      <w:r>
        <w:rPr>
          <w:rFonts w:hint="eastAsia" w:ascii="宋体" w:hAnsi="宋体" w:cs="宋体"/>
          <w:color w:val="auto"/>
          <w:sz w:val="24"/>
          <w:szCs w:val="24"/>
          <w:highlight w:val="none"/>
          <w:u w:val="single"/>
          <w:lang w:val="en-US" w:eastAsia="zh-CN"/>
        </w:rPr>
        <w:t>光塔街道</w:t>
      </w:r>
    </w:p>
    <w:p>
      <w:pPr>
        <w:spacing w:line="480" w:lineRule="exact"/>
        <w:rPr>
          <w:rFonts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广州市越秀区代建项目管理中心</w:t>
      </w:r>
    </w:p>
    <w:p>
      <w:pPr>
        <w:spacing w:line="480" w:lineRule="exact"/>
        <w:rPr>
          <w:rFonts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w:t>
      </w:r>
    </w:p>
    <w:p>
      <w:pPr>
        <w:spacing w:line="480" w:lineRule="exact"/>
        <w:ind w:firstLine="480"/>
        <w:rPr>
          <w:rFonts w:ascii="宋体" w:hAnsi="宋体"/>
          <w:color w:val="auto"/>
          <w:sz w:val="24"/>
          <w:highlight w:val="none"/>
        </w:rPr>
      </w:pPr>
    </w:p>
    <w:p>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甲乙双方确认一致，甲乙双方各自的法人代表人（委托人）签署本责任书后，本责任书作为甲乙双方所有业务往来合同的附件。</w:t>
      </w:r>
    </w:p>
    <w:p>
      <w:pPr>
        <w:spacing w:line="480" w:lineRule="exact"/>
        <w:ind w:firstLine="480"/>
        <w:rPr>
          <w:rFonts w:ascii="宋体" w:hAnsi="宋体" w:cs="宋体"/>
          <w:color w:val="auto"/>
          <w:sz w:val="24"/>
          <w:szCs w:val="24"/>
          <w:highlight w:val="none"/>
        </w:rPr>
      </w:pPr>
    </w:p>
    <w:p>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一、甲乙双方的责任</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（一）严格遵守国家关于市场准入、项目招标投标、工程建设、施工安装和市场活动等有关法律、法规，相关政策，以及廉政建设的各项规定。</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（二）严格执行建设工程项目承发包合同文件，自觉按合同办事。</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业务活动必须坚持公开、公平、公正、诚信、透明的原则（项目涉及保密、法律法规另有规定者除外），不得为获取不正当的利益，损害国家、集体和对方利益，不得违反工程建设管理、施工安装的规章制度。</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（四）发现对方在业务活动中有违规、违纪、违法行为的，应及时提醒对方，情节严重的，应向其上级主管部门或纪检监察、司法等有关机关举报。</w:t>
      </w:r>
    </w:p>
    <w:p>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二、甲方的责任</w:t>
      </w:r>
    </w:p>
    <w:p>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甲方的领导和从事该建设工程项目的工作人员，在工程建设的事前、事中、事后应遵守以下规定：</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（一）不准向乙方和相关单位索要或接受回扣、礼金、有价证券、贵重物品和好处费、感谢费等。</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（二）不准在乙方和相关单位报销任何应由甲方或甲方个人支付的费用。</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（三）不准要求、暗示和接受乙方和相关单位为个人装修住房、婚丧嫁娶、配偶子女的工作安排以及出国（境）、旅游等提供方便。</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（四）不准参加有可能影响公正执行公务的乙方和相关单位的宴请和健身、娱乐等活动。</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val="0"/>
        <w:numPr>
          <w:ilvl w:val="0"/>
          <w:numId w:val="3"/>
        </w:numPr>
        <w:spacing w:line="48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不得有违反法律法规、廉政政策规范、合同约定等的违法违规行为。</w:t>
      </w:r>
    </w:p>
    <w:p>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三、乙方的责任</w:t>
      </w:r>
    </w:p>
    <w:p>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应与甲方保持正常的业务往来，按照有关法律法规和程序开展业务工作，严格执行工程建设的有关方针、政策，尤其是有关建筑施工安装的强制性标准和规范，并遵守以下规定：</w:t>
      </w:r>
    </w:p>
    <w:p>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（一）不准以任何理由向甲方、相关单位及其工作人员索要、接收或赠送礼金、有价证券、贵重物品和回扣、好处费、感谢费等。</w:t>
      </w:r>
    </w:p>
    <w:p>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（二）不准以任何理由为甲方和相关单位报销应由对方或甲方个人支付的费用。</w:t>
      </w:r>
    </w:p>
    <w:p>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（三）不准接受或暗示为甲方、相关单位或甲方个人装修住房、婚丧嫁娶、配偶子女的工作安排以及出国（境）、旅游等提供方便。</w:t>
      </w:r>
    </w:p>
    <w:p>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（四）不准以任何理由为甲方、相关单位或甲方个人组织有可能影响公正执行公务的宴请、健身、娱乐等活动。</w:t>
      </w:r>
    </w:p>
    <w:p>
      <w:pPr>
        <w:widowControl w:val="0"/>
        <w:numPr>
          <w:ilvl w:val="0"/>
          <w:numId w:val="4"/>
        </w:numPr>
        <w:spacing w:line="48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不得有违反法律法规、廉政政策规范、合同约定等的违法违规行为。</w:t>
      </w:r>
    </w:p>
    <w:p>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四、违约责任</w:t>
      </w:r>
    </w:p>
    <w:p>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甲方工作人员有违反本责任书第一、二条责任行为的，按照管理权限，依据有关法律法规和规定给与党纪、政纪处分或组织处理；涉嫌犯罪的，移交司法机关追究刑事责任；给乙方造成经济损失的，应予以赔偿。</w:t>
      </w:r>
    </w:p>
    <w:p>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乙方工作人员有违反本责任书第一、三条责任行为的，按照管理权限，依据有关法律法规和规定给与党纪、政纪处分或组织处理；涉嫌犯罪的，移交司法机关追究刑事责任；给甲方造成经济损失的，应予以赔偿。</w:t>
      </w:r>
    </w:p>
    <w:p>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五、本责任书工程合同具有同等法律效力。经双方签署后立即生效。</w:t>
      </w:r>
    </w:p>
    <w:p>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六、本责任书的有效期为双方签署之日起至该工程质保期满，且工程结算手续全部完成之日止。</w:t>
      </w:r>
    </w:p>
    <w:p>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七、本协议一式</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份，甲方执</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 xml:space="preserve">份，乙方执 </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份，均具有同等法律效力。</w:t>
      </w:r>
    </w:p>
    <w:p>
      <w:pPr>
        <w:spacing w:line="480" w:lineRule="exact"/>
        <w:rPr>
          <w:rFonts w:ascii="宋体" w:hAnsi="宋体"/>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ind w:firstLine="480" w:firstLineChars="200"/>
        <w:rPr>
          <w:color w:val="auto"/>
          <w:sz w:val="24"/>
          <w:highlight w:val="none"/>
        </w:rPr>
      </w:pPr>
    </w:p>
    <w:p>
      <w:pPr>
        <w:spacing w:line="480" w:lineRule="exact"/>
        <w:rPr>
          <w:color w:val="auto"/>
          <w:sz w:val="24"/>
          <w:highlight w:val="none"/>
        </w:rPr>
      </w:pPr>
    </w:p>
    <w:p>
      <w:pPr>
        <w:rPr>
          <w:rFonts w:hint="eastAsia"/>
          <w:color w:val="auto"/>
          <w:sz w:val="24"/>
          <w:highlight w:val="none"/>
        </w:rPr>
      </w:pPr>
      <w:r>
        <w:rPr>
          <w:rFonts w:hint="eastAsia"/>
          <w:color w:val="auto"/>
          <w:sz w:val="24"/>
          <w:highlight w:val="none"/>
        </w:rPr>
        <w:br w:type="page"/>
      </w:r>
    </w:p>
    <w:p>
      <w:pPr>
        <w:spacing w:line="480" w:lineRule="exact"/>
        <w:rPr>
          <w:rFonts w:ascii="宋体" w:hAnsi="宋体"/>
          <w:color w:val="auto"/>
          <w:sz w:val="24"/>
          <w:highlight w:val="none"/>
        </w:rPr>
      </w:pPr>
      <w:r>
        <w:rPr>
          <w:rFonts w:hint="eastAsia"/>
          <w:color w:val="auto"/>
          <w:sz w:val="24"/>
          <w:highlight w:val="none"/>
        </w:rPr>
        <w:t>甲方</w:t>
      </w:r>
      <w:r>
        <w:rPr>
          <w:rFonts w:hint="eastAsia" w:ascii="宋体" w:hAnsi="宋体"/>
          <w:color w:val="auto"/>
          <w:sz w:val="24"/>
          <w:highlight w:val="none"/>
        </w:rPr>
        <w:t>：</w:t>
      </w:r>
      <w:r>
        <w:rPr>
          <w:rFonts w:hint="eastAsia"/>
          <w:color w:val="auto"/>
          <w:sz w:val="24"/>
          <w:szCs w:val="24"/>
          <w:highlight w:val="none"/>
          <w:u w:val="single"/>
        </w:rPr>
        <w:t>广州市越秀区代建项目管理中心</w:t>
      </w:r>
    </w:p>
    <w:p>
      <w:pPr>
        <w:spacing w:line="480" w:lineRule="exact"/>
        <w:ind w:firstLine="480" w:firstLineChars="200"/>
        <w:rPr>
          <w:rFonts w:ascii="宋体"/>
          <w:color w:val="auto"/>
          <w:sz w:val="24"/>
          <w:highlight w:val="none"/>
        </w:rPr>
      </w:pPr>
      <w:r>
        <w:rPr>
          <w:rFonts w:hint="eastAsia" w:ascii="宋体" w:hAnsi="宋体"/>
          <w:color w:val="auto"/>
          <w:sz w:val="24"/>
          <w:highlight w:val="none"/>
        </w:rPr>
        <w:t xml:space="preserve">（盖章）　　　                     </w:t>
      </w:r>
    </w:p>
    <w:p>
      <w:pPr>
        <w:spacing w:line="480" w:lineRule="exact"/>
        <w:ind w:firstLine="0" w:firstLineChars="0"/>
        <w:rPr>
          <w:rFonts w:ascii="宋体"/>
          <w:color w:val="auto"/>
          <w:sz w:val="24"/>
          <w:highlight w:val="none"/>
        </w:rPr>
      </w:pPr>
      <w:r>
        <w:rPr>
          <w:rFonts w:hint="eastAsia" w:ascii="宋体" w:hAnsi="宋体"/>
          <w:color w:val="auto"/>
          <w:sz w:val="24"/>
          <w:highlight w:val="none"/>
          <w:lang w:val="en-US" w:eastAsia="zh-CN"/>
        </w:rPr>
        <w:t>法定代表人</w:t>
      </w:r>
      <w:r>
        <w:rPr>
          <w:rFonts w:hint="eastAsia" w:ascii="宋体" w:hAnsi="宋体"/>
          <w:color w:val="auto"/>
          <w:sz w:val="24"/>
          <w:highlight w:val="none"/>
        </w:rPr>
        <w:t>：　　　　　　　　　　　　　  　</w:t>
      </w:r>
      <w:r>
        <w:rPr>
          <w:rFonts w:ascii="宋体"/>
          <w:color w:val="auto"/>
          <w:sz w:val="24"/>
          <w:highlight w:val="none"/>
        </w:rPr>
        <w:t xml:space="preserve"> </w:t>
      </w:r>
    </w:p>
    <w:p>
      <w:pPr>
        <w:spacing w:line="480" w:lineRule="exact"/>
        <w:ind w:firstLine="0" w:firstLineChars="0"/>
        <w:rPr>
          <w:color w:val="auto"/>
          <w:sz w:val="24"/>
          <w:szCs w:val="24"/>
          <w:highlight w:val="none"/>
          <w:u w:val="single"/>
        </w:rPr>
      </w:pPr>
      <w:r>
        <w:rPr>
          <w:rFonts w:hint="eastAsia" w:ascii="宋体" w:hAnsi="宋体"/>
          <w:color w:val="auto"/>
          <w:sz w:val="24"/>
          <w:highlight w:val="none"/>
        </w:rPr>
        <w:t>地址：</w:t>
      </w:r>
      <w:r>
        <w:rPr>
          <w:rFonts w:hint="eastAsia"/>
          <w:color w:val="auto"/>
          <w:sz w:val="24"/>
          <w:szCs w:val="24"/>
          <w:highlight w:val="none"/>
          <w:u w:val="single"/>
        </w:rPr>
        <w:t>广州市越秀区东华西路永胜街51号</w:t>
      </w:r>
    </w:p>
    <w:p>
      <w:pPr>
        <w:spacing w:line="480" w:lineRule="exact"/>
        <w:ind w:firstLine="0" w:firstLineChars="0"/>
        <w:rPr>
          <w:rFonts w:ascii="宋体"/>
          <w:color w:val="auto"/>
          <w:sz w:val="24"/>
          <w:highlight w:val="none"/>
        </w:rPr>
      </w:pPr>
      <w:r>
        <w:rPr>
          <w:rFonts w:hint="eastAsia" w:ascii="宋体" w:hAnsi="宋体"/>
          <w:color w:val="auto"/>
          <w:sz w:val="24"/>
          <w:highlight w:val="none"/>
        </w:rPr>
        <w:t>电话：</w:t>
      </w:r>
      <w:r>
        <w:rPr>
          <w:rFonts w:hint="eastAsia"/>
          <w:color w:val="auto"/>
          <w:sz w:val="24"/>
          <w:szCs w:val="24"/>
          <w:highlight w:val="none"/>
          <w:u w:val="single"/>
        </w:rPr>
        <w:t>020-8352</w:t>
      </w:r>
      <w:r>
        <w:rPr>
          <w:rFonts w:hint="eastAsia"/>
          <w:color w:val="auto"/>
          <w:sz w:val="24"/>
          <w:szCs w:val="24"/>
          <w:highlight w:val="none"/>
          <w:u w:val="single"/>
          <w:lang w:val="en-US" w:eastAsia="zh-CN"/>
        </w:rPr>
        <w:t>0212</w:t>
      </w:r>
      <w:r>
        <w:rPr>
          <w:rFonts w:hint="eastAsia"/>
          <w:color w:val="auto"/>
          <w:sz w:val="24"/>
          <w:szCs w:val="24"/>
          <w:highlight w:val="none"/>
          <w:u w:val="single"/>
        </w:rPr>
        <w:t>　</w:t>
      </w:r>
      <w:r>
        <w:rPr>
          <w:rFonts w:hint="eastAsia" w:ascii="宋体" w:hAnsi="宋体"/>
          <w:color w:val="auto"/>
          <w:sz w:val="24"/>
          <w:highlight w:val="none"/>
        </w:rPr>
        <w:t>　　　　　　　　　　　　  　　</w:t>
      </w:r>
    </w:p>
    <w:p>
      <w:pPr>
        <w:spacing w:line="480" w:lineRule="exact"/>
        <w:ind w:firstLine="0" w:firstLineChars="0"/>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　月　　日　　　　　　　       　</w:t>
      </w:r>
    </w:p>
    <w:p>
      <w:pPr>
        <w:spacing w:line="480" w:lineRule="exact"/>
        <w:ind w:firstLine="960" w:firstLineChars="400"/>
        <w:rPr>
          <w:rFonts w:ascii="宋体" w:hAnsi="宋体"/>
          <w:color w:val="auto"/>
          <w:sz w:val="24"/>
          <w:highlight w:val="none"/>
        </w:rPr>
      </w:pPr>
    </w:p>
    <w:p>
      <w:pPr>
        <w:spacing w:line="480" w:lineRule="exact"/>
        <w:ind w:firstLine="960" w:firstLineChars="400"/>
        <w:rPr>
          <w:rFonts w:ascii="宋体" w:hAnsi="宋体"/>
          <w:color w:val="auto"/>
          <w:sz w:val="24"/>
          <w:highlight w:val="none"/>
        </w:rPr>
      </w:pPr>
    </w:p>
    <w:p>
      <w:pPr>
        <w:spacing w:line="480" w:lineRule="exact"/>
        <w:ind w:firstLine="960" w:firstLineChars="400"/>
        <w:rPr>
          <w:rFonts w:ascii="宋体" w:hAnsi="宋体"/>
          <w:color w:val="auto"/>
          <w:sz w:val="24"/>
          <w:highlight w:val="none"/>
        </w:rPr>
      </w:pPr>
    </w:p>
    <w:p>
      <w:pPr>
        <w:spacing w:line="480" w:lineRule="exact"/>
        <w:rPr>
          <w:rFonts w:ascii="宋体"/>
          <w:color w:val="auto"/>
          <w:sz w:val="24"/>
          <w:highlight w:val="none"/>
        </w:rPr>
      </w:pPr>
      <w:r>
        <w:rPr>
          <w:rFonts w:hint="eastAsia"/>
          <w:color w:val="auto"/>
          <w:sz w:val="24"/>
          <w:highlight w:val="none"/>
        </w:rPr>
        <w:t>乙方：</w:t>
      </w:r>
      <w:r>
        <w:rPr>
          <w:rFonts w:hint="eastAsia" w:ascii="宋体" w:hAnsi="宋体"/>
          <w:color w:val="auto"/>
          <w:sz w:val="24"/>
          <w:highlight w:val="none"/>
        </w:rPr>
        <w:t>（盖章）　　　　　　　　　　　　</w:t>
      </w:r>
    </w:p>
    <w:p>
      <w:pPr>
        <w:spacing w:line="480" w:lineRule="exact"/>
        <w:ind w:firstLine="0" w:firstLineChars="0"/>
        <w:rPr>
          <w:rFonts w:ascii="宋体"/>
          <w:color w:val="auto"/>
          <w:sz w:val="24"/>
          <w:highlight w:val="none"/>
        </w:rPr>
      </w:pPr>
      <w:r>
        <w:rPr>
          <w:rFonts w:hint="eastAsia" w:ascii="宋体" w:hAnsi="宋体"/>
          <w:color w:val="auto"/>
          <w:sz w:val="24"/>
          <w:highlight w:val="none"/>
          <w:lang w:val="en-US" w:eastAsia="zh-CN"/>
        </w:rPr>
        <w:t>法定代表人</w:t>
      </w:r>
      <w:r>
        <w:rPr>
          <w:rFonts w:hint="eastAsia" w:ascii="宋体" w:hAnsi="宋体"/>
          <w:color w:val="auto"/>
          <w:sz w:val="24"/>
          <w:highlight w:val="none"/>
        </w:rPr>
        <w:t>：　　　　　　　　　　</w:t>
      </w:r>
      <w:r>
        <w:rPr>
          <w:rFonts w:ascii="宋体" w:hAnsi="宋体"/>
          <w:color w:val="auto"/>
          <w:sz w:val="24"/>
          <w:highlight w:val="none"/>
        </w:rPr>
        <w:t xml:space="preserve"> </w:t>
      </w:r>
      <w:r>
        <w:rPr>
          <w:rFonts w:hint="eastAsia" w:ascii="宋体" w:hAnsi="宋体"/>
          <w:color w:val="auto"/>
          <w:sz w:val="24"/>
          <w:highlight w:val="none"/>
        </w:rPr>
        <w:t>　　　　　</w:t>
      </w:r>
    </w:p>
    <w:p>
      <w:pPr>
        <w:spacing w:line="480" w:lineRule="exact"/>
        <w:ind w:firstLine="0" w:firstLineChars="0"/>
        <w:rPr>
          <w:rFonts w:ascii="宋体"/>
          <w:color w:val="auto"/>
          <w:sz w:val="24"/>
          <w:highlight w:val="none"/>
        </w:rPr>
      </w:pPr>
      <w:r>
        <w:rPr>
          <w:rFonts w:hint="eastAsia" w:ascii="宋体" w:hAnsi="宋体"/>
          <w:color w:val="auto"/>
          <w:sz w:val="24"/>
          <w:highlight w:val="none"/>
        </w:rPr>
        <w:t>地址：　　　　　　</w:t>
      </w:r>
      <w:r>
        <w:rPr>
          <w:rFonts w:ascii="宋体" w:hAnsi="宋体"/>
          <w:color w:val="auto"/>
          <w:sz w:val="24"/>
          <w:highlight w:val="none"/>
        </w:rPr>
        <w:t xml:space="preserve">                 </w:t>
      </w:r>
      <w:r>
        <w:rPr>
          <w:rFonts w:hint="eastAsia" w:ascii="宋体" w:hAnsi="宋体"/>
          <w:color w:val="auto"/>
          <w:sz w:val="24"/>
          <w:highlight w:val="none"/>
        </w:rPr>
        <w:t>　</w:t>
      </w:r>
      <w:r>
        <w:rPr>
          <w:rFonts w:ascii="宋体" w:hAnsi="宋体"/>
          <w:color w:val="auto"/>
          <w:sz w:val="24"/>
          <w:highlight w:val="none"/>
        </w:rPr>
        <w:t xml:space="preserve"> </w:t>
      </w:r>
    </w:p>
    <w:p>
      <w:pPr>
        <w:spacing w:line="480" w:lineRule="exact"/>
        <w:ind w:firstLine="0" w:firstLineChars="0"/>
        <w:rPr>
          <w:rFonts w:ascii="宋体"/>
          <w:color w:val="auto"/>
          <w:sz w:val="24"/>
          <w:highlight w:val="none"/>
        </w:rPr>
      </w:pPr>
      <w:r>
        <w:rPr>
          <w:rFonts w:hint="eastAsia" w:ascii="宋体" w:hAnsi="宋体"/>
          <w:color w:val="auto"/>
          <w:sz w:val="24"/>
          <w:highlight w:val="none"/>
        </w:rPr>
        <w:t>电话：　　　　　　　　　</w:t>
      </w:r>
      <w:r>
        <w:rPr>
          <w:rFonts w:ascii="宋体" w:hAnsi="宋体"/>
          <w:color w:val="auto"/>
          <w:sz w:val="24"/>
          <w:highlight w:val="none"/>
        </w:rPr>
        <w:t xml:space="preserve"> </w:t>
      </w:r>
      <w:r>
        <w:rPr>
          <w:rFonts w:hint="eastAsia" w:ascii="宋体" w:hAnsi="宋体"/>
          <w:color w:val="auto"/>
          <w:sz w:val="24"/>
          <w:highlight w:val="none"/>
        </w:rPr>
        <w:t>　　　　　　</w:t>
      </w:r>
    </w:p>
    <w:p>
      <w:pPr>
        <w:spacing w:line="480" w:lineRule="exact"/>
        <w:ind w:firstLine="0" w:firstLineChars="0"/>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　月　　日　　　　　　　　　</w:t>
      </w:r>
      <w:r>
        <w:rPr>
          <w:rFonts w:ascii="宋体" w:hAnsi="宋体"/>
          <w:color w:val="auto"/>
          <w:sz w:val="24"/>
          <w:highlight w:val="none"/>
        </w:rPr>
        <w:t xml:space="preserve">    </w:t>
      </w:r>
    </w:p>
    <w:p>
      <w:pPr>
        <w:spacing w:line="480" w:lineRule="exact"/>
        <w:jc w:val="center"/>
        <w:rPr>
          <w:rFonts w:ascii="宋体" w:hAnsi="宋体"/>
          <w:color w:val="auto"/>
          <w:sz w:val="30"/>
          <w:szCs w:val="30"/>
          <w:highlight w:val="none"/>
        </w:rPr>
      </w:pPr>
    </w:p>
    <w:p>
      <w:pPr>
        <w:adjustRightInd w:val="0"/>
        <w:snapToGrid w:val="0"/>
        <w:spacing w:line="480" w:lineRule="exact"/>
        <w:rPr>
          <w:rFonts w:ascii="宋体" w:hAnsi="宋体"/>
          <w:b/>
          <w:snapToGrid w:val="0"/>
          <w:color w:val="auto"/>
          <w:kern w:val="0"/>
          <w:sz w:val="24"/>
          <w:highlight w:val="none"/>
        </w:rPr>
      </w:pPr>
    </w:p>
    <w:p>
      <w:pPr>
        <w:adjustRightInd w:val="0"/>
        <w:snapToGrid w:val="0"/>
        <w:spacing w:line="480" w:lineRule="exact"/>
        <w:rPr>
          <w:rFonts w:ascii="宋体" w:hAnsi="宋体"/>
          <w:b/>
          <w:snapToGrid w:val="0"/>
          <w:color w:val="auto"/>
          <w:kern w:val="0"/>
          <w:sz w:val="24"/>
          <w:highlight w:val="none"/>
        </w:rPr>
      </w:pPr>
    </w:p>
    <w:p>
      <w:pPr>
        <w:rPr>
          <w:rFonts w:hint="eastAsia" w:ascii="宋体" w:hAnsi="宋体"/>
          <w:snapToGrid w:val="0"/>
          <w:color w:val="auto"/>
          <w:kern w:val="0"/>
          <w:szCs w:val="24"/>
          <w:highlight w:val="none"/>
        </w:rPr>
      </w:pPr>
      <w:r>
        <w:rPr>
          <w:rFonts w:hint="eastAsia" w:ascii="宋体" w:hAnsi="宋体"/>
          <w:snapToGrid w:val="0"/>
          <w:color w:val="auto"/>
          <w:kern w:val="0"/>
          <w:szCs w:val="24"/>
          <w:highlight w:val="none"/>
        </w:rPr>
        <w:br w:type="page"/>
      </w:r>
    </w:p>
    <w:p>
      <w:pPr>
        <w:pStyle w:val="12"/>
        <w:adjustRightInd w:val="0"/>
        <w:snapToGrid w:val="0"/>
        <w:spacing w:line="480" w:lineRule="exact"/>
        <w:ind w:firstLine="0"/>
        <w:rPr>
          <w:rFonts w:ascii="宋体" w:hAnsi="宋体"/>
          <w:snapToGrid w:val="0"/>
          <w:color w:val="auto"/>
          <w:kern w:val="0"/>
          <w:szCs w:val="24"/>
          <w:highlight w:val="none"/>
        </w:rPr>
      </w:pPr>
      <w:r>
        <w:rPr>
          <w:rFonts w:hint="eastAsia" w:ascii="宋体" w:hAnsi="宋体"/>
          <w:snapToGrid w:val="0"/>
          <w:color w:val="auto"/>
          <w:kern w:val="0"/>
          <w:szCs w:val="24"/>
          <w:highlight w:val="none"/>
        </w:rPr>
        <w:t>附件2：中标通知书或委托书（复印件）</w:t>
      </w:r>
    </w:p>
    <w:p>
      <w:pPr>
        <w:adjustRightInd w:val="0"/>
        <w:snapToGrid w:val="0"/>
        <w:spacing w:line="480" w:lineRule="exact"/>
        <w:rPr>
          <w:snapToGrid w:val="0"/>
          <w:color w:val="auto"/>
          <w:kern w:val="0"/>
          <w:highlight w:val="none"/>
        </w:rPr>
      </w:pPr>
    </w:p>
    <w:p>
      <w:pPr>
        <w:adjustRightInd w:val="0"/>
        <w:snapToGrid w:val="0"/>
        <w:spacing w:line="480" w:lineRule="exact"/>
        <w:rPr>
          <w:snapToGrid w:val="0"/>
          <w:color w:val="auto"/>
          <w:kern w:val="0"/>
          <w:highlight w:val="none"/>
        </w:rPr>
      </w:pPr>
    </w:p>
    <w:p>
      <w:pPr>
        <w:adjustRightInd w:val="0"/>
        <w:snapToGrid w:val="0"/>
        <w:spacing w:line="480" w:lineRule="exact"/>
        <w:rPr>
          <w:rFonts w:ascii="宋体" w:hAnsi="宋体"/>
          <w:snapToGrid w:val="0"/>
          <w:color w:val="auto"/>
          <w:kern w:val="0"/>
          <w:sz w:val="24"/>
          <w:szCs w:val="24"/>
          <w:highlight w:val="none"/>
        </w:rPr>
      </w:pPr>
      <w:r>
        <w:rPr>
          <w:snapToGrid w:val="0"/>
          <w:color w:val="auto"/>
          <w:kern w:val="0"/>
          <w:highlight w:val="none"/>
        </w:rPr>
        <w:br w:type="page"/>
      </w:r>
      <w:r>
        <w:rPr>
          <w:rFonts w:hint="eastAsia" w:ascii="宋体" w:hAnsi="宋体"/>
          <w:snapToGrid w:val="0"/>
          <w:color w:val="auto"/>
          <w:kern w:val="0"/>
          <w:sz w:val="24"/>
          <w:szCs w:val="24"/>
          <w:highlight w:val="none"/>
        </w:rPr>
        <w:t>附件3：招标答疑及澄清文件（复印件）</w:t>
      </w:r>
    </w:p>
    <w:p>
      <w:pPr>
        <w:adjustRightInd w:val="0"/>
        <w:snapToGrid w:val="0"/>
        <w:spacing w:line="480" w:lineRule="exact"/>
        <w:rPr>
          <w:snapToGrid w:val="0"/>
          <w:color w:val="auto"/>
          <w:kern w:val="0"/>
          <w:sz w:val="24"/>
          <w:szCs w:val="24"/>
          <w:highlight w:val="none"/>
        </w:rPr>
      </w:pPr>
    </w:p>
    <w:p>
      <w:pPr>
        <w:adjustRightInd w:val="0"/>
        <w:snapToGrid w:val="0"/>
        <w:spacing w:line="480" w:lineRule="exact"/>
        <w:rPr>
          <w:rFonts w:hint="eastAsia" w:ascii="宋体" w:hAnsi="宋体"/>
          <w:snapToGrid w:val="0"/>
          <w:color w:val="auto"/>
          <w:kern w:val="0"/>
          <w:sz w:val="24"/>
          <w:highlight w:val="none"/>
        </w:rPr>
      </w:pPr>
      <w:r>
        <w:rPr>
          <w:snapToGrid w:val="0"/>
          <w:color w:val="auto"/>
          <w:kern w:val="0"/>
          <w:sz w:val="24"/>
          <w:szCs w:val="24"/>
          <w:highlight w:val="none"/>
        </w:rPr>
        <w:br w:type="page"/>
      </w:r>
      <w:r>
        <w:rPr>
          <w:rFonts w:hint="eastAsia" w:ascii="宋体" w:hAnsi="宋体"/>
          <w:snapToGrid w:val="0"/>
          <w:color w:val="auto"/>
          <w:kern w:val="0"/>
          <w:sz w:val="24"/>
          <w:szCs w:val="24"/>
          <w:highlight w:val="none"/>
        </w:rPr>
        <w:t>附件4：</w:t>
      </w:r>
      <w:r>
        <w:rPr>
          <w:rFonts w:hint="eastAsia" w:ascii="宋体" w:hAnsi="宋体"/>
          <w:snapToGrid w:val="0"/>
          <w:color w:val="auto"/>
          <w:kern w:val="0"/>
          <w:sz w:val="24"/>
          <w:szCs w:val="24"/>
          <w:highlight w:val="none"/>
          <w:lang w:eastAsia="zh-CN"/>
        </w:rPr>
        <w:t>大湾区中医康养片区老旧小区成片连片改造示范区项目全过程造价咨询服务</w:t>
      </w:r>
      <w:r>
        <w:rPr>
          <w:rFonts w:hint="eastAsia" w:ascii="宋体" w:hAnsi="宋体"/>
          <w:snapToGrid w:val="0"/>
          <w:color w:val="auto"/>
          <w:kern w:val="0"/>
          <w:sz w:val="24"/>
          <w:highlight w:val="none"/>
        </w:rPr>
        <w:t>投入主要人员汇总表</w:t>
      </w:r>
    </w:p>
    <w:p>
      <w:pPr>
        <w:adjustRightInd w:val="0"/>
        <w:snapToGrid w:val="0"/>
        <w:spacing w:line="480" w:lineRule="exact"/>
        <w:rPr>
          <w:rFonts w:hint="eastAsia" w:ascii="宋体" w:hAnsi="宋体"/>
          <w:snapToGrid w:val="0"/>
          <w:kern w:val="0"/>
          <w:sz w:val="24"/>
        </w:rPr>
      </w:pPr>
    </w:p>
    <w:p>
      <w:pPr>
        <w:adjustRightInd w:val="0"/>
        <w:snapToGrid w:val="0"/>
        <w:spacing w:line="480" w:lineRule="exact"/>
        <w:rPr>
          <w:rFonts w:hint="eastAsia" w:ascii="宋体" w:hAnsi="宋体"/>
          <w:snapToGrid w:val="0"/>
          <w:kern w:val="0"/>
          <w:sz w:val="24"/>
        </w:rPr>
      </w:pPr>
    </w:p>
    <w:bookmarkEnd w:id="0"/>
    <w:p>
      <w:pPr>
        <w:adjustRightInd w:val="0"/>
        <w:snapToGrid w:val="0"/>
        <w:spacing w:line="480" w:lineRule="exact"/>
        <w:rPr>
          <w:rFonts w:ascii="宋体"/>
          <w:b/>
          <w:snapToGrid w:val="0"/>
          <w:kern w:val="0"/>
          <w:sz w:val="32"/>
          <w:szCs w:val="32"/>
        </w:rPr>
      </w:pPr>
    </w:p>
    <w:p>
      <w:pPr>
        <w:adjustRightInd w:val="0"/>
        <w:snapToGrid w:val="0"/>
        <w:spacing w:line="480" w:lineRule="exact"/>
        <w:rPr>
          <w:snapToGrid w:val="0"/>
          <w:kern w:val="0"/>
        </w:rPr>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54610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7"/>
                            </w:rPr>
                          </w:pPr>
                          <w:r>
                            <w:fldChar w:fldCharType="begin"/>
                          </w:r>
                          <w:r>
                            <w:rPr>
                              <w:rStyle w:val="17"/>
                            </w:rPr>
                            <w:instrText xml:space="preserve">PAGE  </w:instrText>
                          </w:r>
                          <w:r>
                            <w:fldChar w:fldCharType="separate"/>
                          </w:r>
                          <w:r>
                            <w:rPr>
                              <w:rStyle w:val="17"/>
                            </w:rPr>
                            <w:t>26</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3pt;height:144pt;width:144pt;mso-position-horizontal:center;mso-position-horizontal-relative:margin;mso-wrap-style:none;z-index:251659264;mso-width-relative:page;mso-height-relative:page;" filled="f" stroked="f" coordsize="21600,21600" o:gfxdata="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WVPQz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pPr>
                      <w:pStyle w:val="8"/>
                      <w:rPr>
                        <w:rStyle w:val="17"/>
                      </w:rPr>
                    </w:pPr>
                    <w:r>
                      <w:fldChar w:fldCharType="begin"/>
                    </w:r>
                    <w:r>
                      <w:rPr>
                        <w:rStyle w:val="17"/>
                      </w:rPr>
                      <w:instrText xml:space="preserve">PAGE  </w:instrText>
                    </w:r>
                    <w:r>
                      <w:fldChar w:fldCharType="separate"/>
                    </w:r>
                    <w:r>
                      <w:rPr>
                        <w:rStyle w:val="17"/>
                      </w:rPr>
                      <w:t>26</w:t>
                    </w:r>
                    <w: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A5441"/>
    <w:multiLevelType w:val="singleLevel"/>
    <w:tmpl w:val="FD7A5441"/>
    <w:lvl w:ilvl="0" w:tentative="0">
      <w:start w:val="1"/>
      <w:numFmt w:val="decimal"/>
      <w:suff w:val="nothing"/>
      <w:lvlText w:val="（%1）"/>
      <w:lvlJc w:val="left"/>
    </w:lvl>
  </w:abstractNum>
  <w:abstractNum w:abstractNumId="1">
    <w:nsid w:val="0828062D"/>
    <w:multiLevelType w:val="multilevel"/>
    <w:tmpl w:val="0828062D"/>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2">
    <w:nsid w:val="0FFA2A4F"/>
    <w:multiLevelType w:val="multilevel"/>
    <w:tmpl w:val="0FFA2A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846" w:hanging="420"/>
      </w:pPr>
      <w:rPr>
        <w:rFonts w:hint="eastAsia" w:ascii="仿宋_GB2312" w:eastAsia="仿宋_GB2312"/>
        <w:b w:val="0"/>
        <w:i w:val="0"/>
        <w:sz w:val="24"/>
        <w:lang w:val="en-U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4346EB"/>
    <w:multiLevelType w:val="multilevel"/>
    <w:tmpl w:val="514346EB"/>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zU5MDVjODIyZmI4MTg0ZDY4YzU3YjUzZTI5YzMifQ=="/>
    <w:docVar w:name="KSO_WPS_MARK_KEY" w:val="bea55dd8-92f8-499e-bf1a-9d53649c19cc"/>
  </w:docVars>
  <w:rsids>
    <w:rsidRoot w:val="08B463E8"/>
    <w:rsid w:val="00046AA8"/>
    <w:rsid w:val="000536F2"/>
    <w:rsid w:val="00067C9A"/>
    <w:rsid w:val="00070A8F"/>
    <w:rsid w:val="000B156F"/>
    <w:rsid w:val="000B1B1F"/>
    <w:rsid w:val="00113E71"/>
    <w:rsid w:val="001218CB"/>
    <w:rsid w:val="0013346C"/>
    <w:rsid w:val="001444E1"/>
    <w:rsid w:val="00180242"/>
    <w:rsid w:val="001867A8"/>
    <w:rsid w:val="0019366E"/>
    <w:rsid w:val="001A1A87"/>
    <w:rsid w:val="001D0FB4"/>
    <w:rsid w:val="001F69CC"/>
    <w:rsid w:val="002055D8"/>
    <w:rsid w:val="002254FF"/>
    <w:rsid w:val="002845B2"/>
    <w:rsid w:val="002C0F72"/>
    <w:rsid w:val="002D4C91"/>
    <w:rsid w:val="003279DA"/>
    <w:rsid w:val="00332068"/>
    <w:rsid w:val="003469EE"/>
    <w:rsid w:val="003738B4"/>
    <w:rsid w:val="00383996"/>
    <w:rsid w:val="003E6F8F"/>
    <w:rsid w:val="00417EF0"/>
    <w:rsid w:val="00427144"/>
    <w:rsid w:val="00490E54"/>
    <w:rsid w:val="005F2743"/>
    <w:rsid w:val="005F4220"/>
    <w:rsid w:val="00615804"/>
    <w:rsid w:val="00632F06"/>
    <w:rsid w:val="00640B42"/>
    <w:rsid w:val="0067439D"/>
    <w:rsid w:val="006832C3"/>
    <w:rsid w:val="006E1494"/>
    <w:rsid w:val="00702EE2"/>
    <w:rsid w:val="0076211F"/>
    <w:rsid w:val="00771205"/>
    <w:rsid w:val="007B2FBE"/>
    <w:rsid w:val="007D1EF2"/>
    <w:rsid w:val="008B3194"/>
    <w:rsid w:val="008E7572"/>
    <w:rsid w:val="008F7930"/>
    <w:rsid w:val="00944786"/>
    <w:rsid w:val="00990186"/>
    <w:rsid w:val="00992960"/>
    <w:rsid w:val="00A04514"/>
    <w:rsid w:val="00A42F77"/>
    <w:rsid w:val="00A917D7"/>
    <w:rsid w:val="00A97A72"/>
    <w:rsid w:val="00AD40EF"/>
    <w:rsid w:val="00AD737F"/>
    <w:rsid w:val="00BC7382"/>
    <w:rsid w:val="00BE2F00"/>
    <w:rsid w:val="00BF1912"/>
    <w:rsid w:val="00C12169"/>
    <w:rsid w:val="00C90285"/>
    <w:rsid w:val="00CC41EF"/>
    <w:rsid w:val="00D15CB2"/>
    <w:rsid w:val="00D160AA"/>
    <w:rsid w:val="00D2479A"/>
    <w:rsid w:val="00D707D4"/>
    <w:rsid w:val="00D73878"/>
    <w:rsid w:val="00DA4F38"/>
    <w:rsid w:val="00DA6F74"/>
    <w:rsid w:val="00E128FE"/>
    <w:rsid w:val="00E4465F"/>
    <w:rsid w:val="00E97356"/>
    <w:rsid w:val="00F12951"/>
    <w:rsid w:val="00F24770"/>
    <w:rsid w:val="00F755BC"/>
    <w:rsid w:val="00F87711"/>
    <w:rsid w:val="01C71911"/>
    <w:rsid w:val="054A6C0A"/>
    <w:rsid w:val="06893AD6"/>
    <w:rsid w:val="07337B4B"/>
    <w:rsid w:val="07A12B69"/>
    <w:rsid w:val="08B463E8"/>
    <w:rsid w:val="09EA33AB"/>
    <w:rsid w:val="0BC3666B"/>
    <w:rsid w:val="0CD314E2"/>
    <w:rsid w:val="0E083E00"/>
    <w:rsid w:val="0E2A1391"/>
    <w:rsid w:val="0FD94653"/>
    <w:rsid w:val="1057123E"/>
    <w:rsid w:val="11534A9D"/>
    <w:rsid w:val="131A523E"/>
    <w:rsid w:val="137E7AE2"/>
    <w:rsid w:val="16A1430D"/>
    <w:rsid w:val="16D21F30"/>
    <w:rsid w:val="176605BB"/>
    <w:rsid w:val="1A450189"/>
    <w:rsid w:val="1C3043E3"/>
    <w:rsid w:val="1D68496D"/>
    <w:rsid w:val="1EFF3763"/>
    <w:rsid w:val="1FE67B3A"/>
    <w:rsid w:val="21086563"/>
    <w:rsid w:val="224B3F11"/>
    <w:rsid w:val="22BF4B2E"/>
    <w:rsid w:val="2376362D"/>
    <w:rsid w:val="2443399D"/>
    <w:rsid w:val="26357B47"/>
    <w:rsid w:val="28861DFD"/>
    <w:rsid w:val="28B22624"/>
    <w:rsid w:val="2ABC7CA4"/>
    <w:rsid w:val="308A47E2"/>
    <w:rsid w:val="308C43DD"/>
    <w:rsid w:val="30A74849"/>
    <w:rsid w:val="31F574EB"/>
    <w:rsid w:val="32FB7582"/>
    <w:rsid w:val="36202E5D"/>
    <w:rsid w:val="366743EA"/>
    <w:rsid w:val="3684142D"/>
    <w:rsid w:val="39E32FCC"/>
    <w:rsid w:val="3C6142F1"/>
    <w:rsid w:val="3C9F4356"/>
    <w:rsid w:val="3CC57191"/>
    <w:rsid w:val="3E4929BF"/>
    <w:rsid w:val="3EB64AC7"/>
    <w:rsid w:val="3EDD4BDA"/>
    <w:rsid w:val="437A224D"/>
    <w:rsid w:val="43990994"/>
    <w:rsid w:val="4527075C"/>
    <w:rsid w:val="4626153B"/>
    <w:rsid w:val="47427C7D"/>
    <w:rsid w:val="48D233DE"/>
    <w:rsid w:val="48F03833"/>
    <w:rsid w:val="4E7B7DCC"/>
    <w:rsid w:val="52A01E26"/>
    <w:rsid w:val="52BD6865"/>
    <w:rsid w:val="53FD5E42"/>
    <w:rsid w:val="542F6D0A"/>
    <w:rsid w:val="54703A7A"/>
    <w:rsid w:val="581A04B2"/>
    <w:rsid w:val="60873389"/>
    <w:rsid w:val="611909C9"/>
    <w:rsid w:val="685C402A"/>
    <w:rsid w:val="6C4E79C1"/>
    <w:rsid w:val="6D535020"/>
    <w:rsid w:val="71D730C5"/>
    <w:rsid w:val="73605F14"/>
    <w:rsid w:val="7A045F3E"/>
    <w:rsid w:val="7A0B524B"/>
    <w:rsid w:val="7F322E1C"/>
    <w:rsid w:val="7F3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annotation text"/>
    <w:basedOn w:val="1"/>
    <w:link w:val="25"/>
    <w:qFormat/>
    <w:uiPriority w:val="0"/>
  </w:style>
  <w:style w:type="paragraph" w:styleId="4">
    <w:name w:val="Body Text"/>
    <w:basedOn w:val="1"/>
    <w:qFormat/>
    <w:uiPriority w:val="99"/>
    <w:pPr>
      <w:spacing w:after="120"/>
    </w:pPr>
    <w:rPr>
      <w:rFonts w:ascii="Times New Roman" w:hAnsi="Times New Roman"/>
      <w:kern w:val="0"/>
    </w:rPr>
  </w:style>
  <w:style w:type="paragraph" w:styleId="5">
    <w:name w:val="Body Text Indent"/>
    <w:basedOn w:val="1"/>
    <w:link w:val="23"/>
    <w:qFormat/>
    <w:uiPriority w:val="99"/>
    <w:pPr>
      <w:widowControl w:val="0"/>
      <w:spacing w:line="360" w:lineRule="auto"/>
      <w:ind w:left="608" w:hanging="608"/>
      <w:jc w:val="both"/>
    </w:pPr>
    <w:rPr>
      <w:rFonts w:ascii="宋体" w:hAnsi="Times New Roman"/>
      <w:kern w:val="0"/>
      <w:sz w:val="28"/>
    </w:rPr>
  </w:style>
  <w:style w:type="paragraph" w:styleId="6">
    <w:name w:val="Plain Text"/>
    <w:basedOn w:val="1"/>
    <w:next w:val="1"/>
    <w:qFormat/>
    <w:uiPriority w:val="0"/>
    <w:rPr>
      <w:rFonts w:ascii="宋体" w:hAnsi="Courier New"/>
      <w:szCs w:val="20"/>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pPr>
    <w:rPr>
      <w:rFonts w:ascii="Times New Roman" w:hAnsi="Times New Roman"/>
      <w:kern w:val="0"/>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rPr>
  </w:style>
  <w:style w:type="paragraph" w:styleId="10">
    <w:name w:val="Normal (Web)"/>
    <w:basedOn w:val="1"/>
    <w:qFormat/>
    <w:uiPriority w:val="0"/>
    <w:pPr>
      <w:spacing w:before="100" w:beforeAutospacing="1" w:after="100" w:afterAutospacing="1"/>
    </w:pPr>
    <w:rPr>
      <w:rFonts w:ascii="宋体" w:hAnsi="宋体" w:cs="宋体"/>
      <w:sz w:val="24"/>
      <w:szCs w:val="24"/>
    </w:rPr>
  </w:style>
  <w:style w:type="paragraph" w:styleId="11">
    <w:name w:val="annotation subject"/>
    <w:basedOn w:val="3"/>
    <w:next w:val="3"/>
    <w:link w:val="26"/>
    <w:qFormat/>
    <w:uiPriority w:val="0"/>
    <w:rPr>
      <w:b/>
      <w:bCs/>
    </w:rPr>
  </w:style>
  <w:style w:type="paragraph" w:styleId="12">
    <w:name w:val="Body Text First Indent"/>
    <w:basedOn w:val="4"/>
    <w:qFormat/>
    <w:uiPriority w:val="99"/>
    <w:pPr>
      <w:widowControl w:val="0"/>
      <w:spacing w:after="0" w:line="360" w:lineRule="auto"/>
      <w:ind w:firstLine="425"/>
      <w:jc w:val="both"/>
    </w:pPr>
    <w:rPr>
      <w:kern w:val="2"/>
      <w:sz w:val="24"/>
    </w:rPr>
  </w:style>
  <w:style w:type="paragraph" w:styleId="13">
    <w:name w:val="Body Text First Indent 2"/>
    <w:basedOn w:val="5"/>
    <w:link w:val="24"/>
    <w:qFormat/>
    <w:uiPriority w:val="0"/>
    <w:pPr>
      <w:spacing w:after="120" w:line="240" w:lineRule="auto"/>
      <w:ind w:left="420" w:leftChars="200" w:firstLine="420" w:firstLineChars="200"/>
    </w:pPr>
    <w:rPr>
      <w:rFonts w:ascii="Times New Roman"/>
      <w:kern w:val="2"/>
      <w:sz w:val="21"/>
      <w:szCs w:val="24"/>
    </w:rPr>
  </w:style>
  <w:style w:type="table" w:styleId="15">
    <w:name w:val="Table Grid"/>
    <w:basedOn w:val="14"/>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rPr>
      <w:rFonts w:cs="Times New Roman"/>
    </w:rPr>
  </w:style>
  <w:style w:type="character" w:styleId="18">
    <w:name w:val="annotation reference"/>
    <w:basedOn w:val="16"/>
    <w:qFormat/>
    <w:uiPriority w:val="0"/>
    <w:rPr>
      <w:sz w:val="21"/>
      <w:szCs w:val="21"/>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列出段落1"/>
    <w:basedOn w:val="1"/>
    <w:qFormat/>
    <w:uiPriority w:val="34"/>
    <w:pPr>
      <w:widowControl w:val="0"/>
      <w:ind w:firstLine="420" w:firstLineChars="200"/>
      <w:jc w:val="both"/>
    </w:pPr>
    <w:rPr>
      <w:szCs w:val="22"/>
    </w:rPr>
  </w:style>
  <w:style w:type="character" w:customStyle="1" w:styleId="21">
    <w:name w:val="批注框文本 Char"/>
    <w:basedOn w:val="16"/>
    <w:link w:val="7"/>
    <w:qFormat/>
    <w:uiPriority w:val="0"/>
    <w:rPr>
      <w:rFonts w:ascii="Calibri" w:hAnsi="Calibri"/>
      <w:kern w:val="2"/>
      <w:sz w:val="18"/>
      <w:szCs w:val="18"/>
    </w:rPr>
  </w:style>
  <w:style w:type="paragraph" w:customStyle="1" w:styleId="22">
    <w:name w:val="Blockquote"/>
    <w:basedOn w:val="1"/>
    <w:qFormat/>
    <w:uiPriority w:val="0"/>
    <w:pPr>
      <w:widowControl w:val="0"/>
      <w:autoSpaceDE w:val="0"/>
      <w:autoSpaceDN w:val="0"/>
      <w:adjustRightInd w:val="0"/>
      <w:spacing w:before="100" w:after="100"/>
      <w:ind w:left="360" w:right="360"/>
    </w:pPr>
    <w:rPr>
      <w:rFonts w:ascii="Times New Roman" w:hAnsi="Times New Roman"/>
      <w:kern w:val="0"/>
      <w:sz w:val="24"/>
    </w:rPr>
  </w:style>
  <w:style w:type="character" w:customStyle="1" w:styleId="23">
    <w:name w:val="正文文本缩进 Char"/>
    <w:basedOn w:val="16"/>
    <w:link w:val="5"/>
    <w:qFormat/>
    <w:uiPriority w:val="99"/>
    <w:rPr>
      <w:rFonts w:ascii="宋体"/>
      <w:sz w:val="28"/>
    </w:rPr>
  </w:style>
  <w:style w:type="character" w:customStyle="1" w:styleId="24">
    <w:name w:val="正文首行缩进 2 Char"/>
    <w:basedOn w:val="23"/>
    <w:link w:val="13"/>
    <w:qFormat/>
    <w:uiPriority w:val="0"/>
    <w:rPr>
      <w:rFonts w:ascii="宋体"/>
      <w:kern w:val="2"/>
      <w:sz w:val="21"/>
      <w:szCs w:val="24"/>
    </w:rPr>
  </w:style>
  <w:style w:type="character" w:customStyle="1" w:styleId="25">
    <w:name w:val="批注文字 Char"/>
    <w:basedOn w:val="16"/>
    <w:link w:val="3"/>
    <w:qFormat/>
    <w:uiPriority w:val="0"/>
    <w:rPr>
      <w:rFonts w:ascii="Calibri" w:hAnsi="Calibri"/>
      <w:kern w:val="2"/>
      <w:sz w:val="21"/>
    </w:rPr>
  </w:style>
  <w:style w:type="character" w:customStyle="1" w:styleId="26">
    <w:name w:val="批注主题 Char"/>
    <w:basedOn w:val="25"/>
    <w:link w:val="11"/>
    <w:qFormat/>
    <w:uiPriority w:val="0"/>
    <w:rPr>
      <w:rFonts w:ascii="Calibri" w:hAnsi="Calibri"/>
      <w:b/>
      <w:bCs/>
      <w:kern w:val="2"/>
      <w:sz w:val="21"/>
    </w:rPr>
  </w:style>
  <w:style w:type="paragraph" w:customStyle="1" w:styleId="27">
    <w:name w:val="修订1"/>
    <w:hidden/>
    <w:unhideWhenUsed/>
    <w:qFormat/>
    <w:uiPriority w:val="99"/>
    <w:rPr>
      <w:rFonts w:ascii="Calibri" w:hAnsi="Calibri" w:eastAsia="宋体" w:cs="Times New Roman"/>
      <w:kern w:val="2"/>
      <w:sz w:val="21"/>
      <w:lang w:val="en-US" w:eastAsia="zh-CN" w:bidi="ar-SA"/>
    </w:rPr>
  </w:style>
  <w:style w:type="paragraph" w:customStyle="1" w:styleId="28">
    <w:name w:val="修订2"/>
    <w:hidden/>
    <w:unhideWhenUsed/>
    <w:qFormat/>
    <w:uiPriority w:val="99"/>
    <w:rPr>
      <w:rFonts w:ascii="Calibri" w:hAnsi="Calibri" w:eastAsia="宋体" w:cs="Times New Roman"/>
      <w:kern w:val="2"/>
      <w:sz w:val="21"/>
      <w:lang w:val="en-US" w:eastAsia="zh-CN" w:bidi="ar-SA"/>
    </w:rPr>
  </w:style>
  <w:style w:type="paragraph" w:styleId="29">
    <w:name w:val="List Paragraph"/>
    <w:basedOn w:val="1"/>
    <w:qFormat/>
    <w:uiPriority w:val="99"/>
    <w:pPr>
      <w:widowControl w:val="0"/>
      <w:ind w:firstLine="420" w:firstLineChars="200"/>
      <w:jc w:val="both"/>
    </w:pPr>
    <w:rPr>
      <w:rFonts w:ascii="Times New Roman" w:hAnsi="Times New Roman"/>
      <w:szCs w:val="22"/>
    </w:rPr>
  </w:style>
  <w:style w:type="paragraph" w:customStyle="1" w:styleId="30">
    <w:name w:val="toa heading1"/>
    <w:basedOn w:val="1"/>
    <w:next w:val="1"/>
    <w:qFormat/>
    <w:uiPriority w:val="0"/>
    <w:rPr>
      <w:rFonts w:ascii="Cambria" w:hAnsi="Cambria" w:cs="Cambr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25</Pages>
  <Words>13954</Words>
  <Characters>14415</Characters>
  <Lines>112</Lines>
  <Paragraphs>31</Paragraphs>
  <TotalTime>10</TotalTime>
  <ScaleCrop>false</ScaleCrop>
  <LinksUpToDate>false</LinksUpToDate>
  <CharactersWithSpaces>14882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2023-04-19T00:22:00Z</dcterms:created>
  <dc:creator>USER</dc:creator>
  <cp:lastModifiedBy>Administrator</cp:lastModifiedBy>
  <cp:lastPrinted>2024-04-03T07:19:00Z</cp:lastPrinted>
  <dcterms:modified xsi:type="dcterms:W3CDTF">2024-07-18T09:22:15Z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792C02FCA6A8404D85333367E78959E6_13</vt:lpwstr>
  </property>
</Properties>
</file>