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方正小标宋简体" w:hAnsi="方正小标宋简体" w:eastAsia="方正小标宋简体" w:cs="方正小标宋简体"/>
          <w:bCs/>
          <w:color w:val="262626"/>
          <w:sz w:val="44"/>
          <w:szCs w:val="44"/>
          <w:shd w:val="clear" w:color="auto" w:fill="FFFFFF"/>
        </w:rPr>
      </w:pPr>
      <w:r>
        <w:rPr>
          <w:rFonts w:hint="eastAsia" w:ascii="方正小标宋简体" w:hAnsi="方正小标宋简体" w:eastAsia="方正小标宋简体" w:cs="方正小标宋简体"/>
          <w:bCs/>
          <w:color w:val="262626"/>
          <w:sz w:val="44"/>
          <w:szCs w:val="44"/>
          <w:shd w:val="clear" w:color="auto" w:fill="FFFFFF"/>
        </w:rPr>
        <w:t>光塔街综合养老服务中心（颐康中心）</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ascii="华康简标题宋" w:hAnsi="华康简标题宋"/>
          <w:color w:val="262626"/>
          <w:sz w:val="44"/>
          <w:szCs w:val="44"/>
        </w:rPr>
      </w:pPr>
      <w:r>
        <w:rPr>
          <w:rFonts w:hint="eastAsia" w:ascii="方正小标宋简体" w:hAnsi="方正小标宋简体" w:eastAsia="方正小标宋简体" w:cs="方正小标宋简体"/>
          <w:bCs/>
          <w:color w:val="262626"/>
          <w:sz w:val="44"/>
          <w:szCs w:val="44"/>
          <w:shd w:val="clear" w:color="auto" w:fill="FFFFFF"/>
        </w:rPr>
        <w:t>运营</w:t>
      </w:r>
      <w:r>
        <w:rPr>
          <w:rFonts w:hint="eastAsia" w:ascii="方正小标宋简体" w:hAnsi="方正小标宋简体" w:eastAsia="方正小标宋简体" w:cs="方正小标宋简体"/>
          <w:bCs/>
          <w:color w:val="262626"/>
          <w:sz w:val="44"/>
          <w:szCs w:val="44"/>
          <w:shd w:val="clear" w:color="auto" w:fill="FFFFFF"/>
          <w:lang w:eastAsia="zh-CN"/>
        </w:rPr>
        <w:t>项目</w:t>
      </w:r>
      <w:r>
        <w:rPr>
          <w:rFonts w:hint="eastAsia" w:ascii="方正小标宋简体" w:hAnsi="方正小标宋简体" w:eastAsia="方正小标宋简体" w:cs="方正小标宋简体"/>
          <w:bCs/>
          <w:color w:val="262626"/>
          <w:sz w:val="44"/>
          <w:szCs w:val="44"/>
          <w:shd w:val="clear" w:color="auto" w:fill="FFFFFF"/>
        </w:rPr>
        <w:t>用户需求书</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420"/>
        <w:jc w:val="both"/>
        <w:textAlignment w:val="auto"/>
        <w:rPr>
          <w:color w:val="262626"/>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jc w:val="both"/>
        <w:textAlignment w:val="auto"/>
        <w:rPr>
          <w:color w:val="auto"/>
        </w:rPr>
      </w:pPr>
      <w:r>
        <w:rPr>
          <w:rFonts w:hint="eastAsia" w:ascii="宋体" w:hAnsi="宋体" w:eastAsia="宋体" w:cs="宋体"/>
          <w:b/>
          <w:bCs/>
          <w:color w:val="auto"/>
          <w:shd w:val="clear" w:color="auto" w:fill="FFFFFF"/>
        </w:rPr>
        <w:t>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textAlignment w:val="auto"/>
        <w:rPr>
          <w:color w:val="auto"/>
        </w:rPr>
      </w:pPr>
      <w:r>
        <w:rPr>
          <w:rFonts w:hint="eastAsia" w:ascii="宋体" w:hAnsi="宋体" w:eastAsia="宋体" w:cs="宋体"/>
          <w:b/>
          <w:bCs/>
          <w:color w:val="auto"/>
          <w:shd w:val="clear" w:color="auto" w:fill="FFFFFF"/>
        </w:rPr>
        <w:t>1.供应商须对本项目为单位的货物及服务进行整体响应，任何只对其中一部分内容进行的响应都被视为响应无效。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500" w:lineRule="exact"/>
        <w:ind w:firstLine="482" w:firstLineChars="200"/>
        <w:textAlignment w:val="auto"/>
        <w:rPr>
          <w:color w:val="auto"/>
        </w:rPr>
      </w:pPr>
      <w:r>
        <w:rPr>
          <w:rFonts w:hint="eastAsia" w:ascii="宋体" w:hAnsi="宋体" w:eastAsia="宋体" w:cs="宋体"/>
          <w:b/>
          <w:bCs/>
          <w:color w:val="auto"/>
          <w:shd w:val="clear" w:color="auto" w:fill="FFFFFF"/>
        </w:rPr>
        <w:t>2.用户需求书中，凡标有“★”的条款，必须实质性响应，不允许负偏离（不满足要求）。若有一项带“★”的指标未响应或不满足，将导致其废标或投标无效。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480" w:firstLineChars="200"/>
        <w:textAlignment w:val="auto"/>
        <w:rPr>
          <w:rFonts w:ascii="黑体" w:hAnsi="黑体" w:eastAsia="黑体"/>
          <w:color w:val="auto"/>
        </w:rPr>
      </w:pPr>
      <w:r>
        <w:rPr>
          <w:rFonts w:hint="eastAsia" w:ascii="黑体" w:hAnsi="黑体" w:eastAsia="黑体" w:cs="宋体"/>
          <w:color w:val="auto"/>
          <w:shd w:val="clear" w:color="auto" w:fill="FFFFFF"/>
        </w:rPr>
        <w:t>一、项目概况</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420"/>
        <w:textAlignment w:val="auto"/>
        <w:rPr>
          <w:rFonts w:ascii="楷体_GB2312" w:eastAsia="楷体_GB2312"/>
          <w:color w:val="auto"/>
        </w:rPr>
      </w:pPr>
      <w:r>
        <w:rPr>
          <w:rFonts w:hint="eastAsia" w:ascii="楷体_GB2312" w:hAnsi="宋体" w:eastAsia="楷体_GB2312" w:cs="宋体"/>
          <w:bCs/>
          <w:color w:val="auto"/>
          <w:shd w:val="clear" w:color="auto" w:fill="FFFFFF"/>
        </w:rPr>
        <w:t>（一）项目名称</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540" w:firstLineChars="225"/>
        <w:textAlignment w:val="auto"/>
        <w:rPr>
          <w:rFonts w:ascii="仿宋_GB2312" w:eastAsia="仿宋_GB2312"/>
          <w:color w:val="auto"/>
        </w:rPr>
      </w:pPr>
      <w:r>
        <w:rPr>
          <w:rFonts w:hint="eastAsia" w:ascii="仿宋_GB2312" w:hAnsi="宋体" w:eastAsia="仿宋_GB2312" w:cs="宋体"/>
          <w:color w:val="auto"/>
          <w:shd w:val="clear" w:color="auto" w:fill="FFFFFF"/>
          <w:lang w:val="en-US" w:eastAsia="zh-CN"/>
        </w:rPr>
        <w:t>广州市越秀区光塔街综合养老服务中心（颐康中心）运营</w:t>
      </w:r>
      <w:r>
        <w:rPr>
          <w:rFonts w:hint="eastAsia" w:ascii="仿宋_GB2312" w:hAnsi="宋体" w:eastAsia="仿宋_GB2312" w:cs="宋体"/>
          <w:color w:val="auto"/>
          <w:shd w:val="clear" w:color="auto" w:fill="FFFFFF"/>
        </w:rPr>
        <w:t>项目</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420"/>
        <w:textAlignment w:val="auto"/>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（二）服务期</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540" w:firstLineChars="225"/>
        <w:textAlignment w:val="auto"/>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lang w:eastAsia="zh-CN"/>
        </w:rPr>
        <w:t>本</w:t>
      </w:r>
      <w:r>
        <w:rPr>
          <w:rFonts w:hint="eastAsia" w:ascii="仿宋_GB2312" w:hAnsi="宋体" w:eastAsia="仿宋_GB2312" w:cs="宋体"/>
          <w:color w:val="auto"/>
          <w:shd w:val="clear" w:color="auto" w:fill="FFFFFF"/>
        </w:rPr>
        <w:t>合同</w:t>
      </w:r>
      <w:r>
        <w:rPr>
          <w:rFonts w:hint="eastAsia" w:ascii="仿宋_GB2312" w:hAnsi="宋体" w:eastAsia="仿宋_GB2312" w:cs="宋体"/>
          <w:color w:val="auto"/>
          <w:shd w:val="clear" w:color="auto" w:fill="FFFFFF"/>
          <w:lang w:eastAsia="zh-CN"/>
        </w:rPr>
        <w:t>由2023年9月至</w:t>
      </w:r>
      <w:r>
        <w:rPr>
          <w:rFonts w:hint="eastAsia" w:ascii="仿宋_GB2312" w:hAnsi="宋体" w:eastAsia="仿宋_GB2312" w:cs="宋体"/>
          <w:color w:val="auto"/>
          <w:shd w:val="clear" w:color="auto" w:fill="FFFFFF"/>
          <w:lang w:val="en-US" w:eastAsia="zh-CN"/>
        </w:rPr>
        <w:t>2023年</w:t>
      </w:r>
      <w:r>
        <w:rPr>
          <w:rFonts w:hint="eastAsia" w:ascii="仿宋_GB2312" w:hAnsi="宋体" w:eastAsia="仿宋_GB2312" w:cs="宋体"/>
          <w:color w:val="auto"/>
          <w:shd w:val="clear" w:color="auto" w:fill="FFFFFF"/>
          <w:lang w:eastAsia="zh-CN"/>
        </w:rPr>
        <w:t>12月止</w:t>
      </w:r>
      <w:r>
        <w:rPr>
          <w:rFonts w:hint="eastAsia" w:ascii="仿宋_GB2312" w:hAnsi="宋体" w:eastAsia="仿宋_GB2312" w:cs="宋体"/>
          <w:color w:val="auto"/>
          <w:shd w:val="clear" w:color="auto" w:fill="FFFFFF"/>
          <w:lang w:val="en-US" w:eastAsia="zh-CN"/>
        </w:rPr>
        <w:t>,共计</w:t>
      </w:r>
      <w:r>
        <w:rPr>
          <w:rFonts w:hint="eastAsia" w:ascii="仿宋_GB2312" w:hAnsi="宋体" w:eastAsia="仿宋_GB2312" w:cs="宋体"/>
          <w:color w:val="auto"/>
          <w:shd w:val="clear" w:color="auto" w:fill="FFFFFF"/>
          <w:lang w:eastAsia="zh-CN"/>
        </w:rPr>
        <w:t>四个月</w:t>
      </w:r>
      <w:r>
        <w:rPr>
          <w:rFonts w:hint="eastAsia" w:ascii="仿宋_GB2312" w:hAnsi="宋体" w:eastAsia="仿宋_GB2312" w:cs="宋体"/>
          <w:color w:val="auto"/>
          <w:shd w:val="clear" w:color="auto" w:fill="FFFFFF"/>
        </w:rPr>
        <w:t>。</w:t>
      </w:r>
      <w:r>
        <w:rPr>
          <w:rFonts w:hint="eastAsia" w:ascii="仿宋_GB2312" w:hAnsi="宋体" w:eastAsia="仿宋_GB2312" w:cs="宋体"/>
          <w:color w:val="auto"/>
          <w:shd w:val="clear" w:color="auto" w:fill="FFFFFF"/>
          <w:lang w:eastAsia="zh-CN"/>
        </w:rPr>
        <w:t>服务期完成后统一</w:t>
      </w:r>
      <w:r>
        <w:rPr>
          <w:rFonts w:hint="eastAsia" w:ascii="仿宋_GB2312" w:hAnsi="宋体" w:eastAsia="仿宋_GB2312" w:cs="宋体"/>
          <w:color w:val="auto"/>
          <w:shd w:val="clear" w:color="auto" w:fill="FFFFFF"/>
        </w:rPr>
        <w:t>开展服务</w:t>
      </w:r>
      <w:r>
        <w:rPr>
          <w:rFonts w:hint="eastAsia" w:ascii="仿宋_GB2312" w:hAnsi="宋体" w:eastAsia="仿宋_GB2312" w:cs="宋体"/>
          <w:color w:val="auto"/>
          <w:shd w:val="clear" w:color="auto" w:fill="FFFFFF"/>
          <w:lang w:eastAsia="zh-CN"/>
        </w:rPr>
        <w:t>考核</w:t>
      </w:r>
      <w:r>
        <w:rPr>
          <w:rFonts w:hint="eastAsia" w:ascii="仿宋_GB2312" w:hAnsi="宋体" w:eastAsia="仿宋_GB2312" w:cs="宋体"/>
          <w:color w:val="auto"/>
          <w:shd w:val="clear" w:color="auto" w:fill="FFFFFF"/>
        </w:rPr>
        <w:t>评估。</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420"/>
        <w:textAlignment w:val="auto"/>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（三）项目报价</w:t>
      </w:r>
    </w:p>
    <w:p>
      <w:pPr>
        <w:pStyle w:val="5"/>
        <w:keepNext w:val="0"/>
        <w:keepLines w:val="0"/>
        <w:pageBreakBefore w:val="0"/>
        <w:widowControl/>
        <w:kinsoku/>
        <w:wordWrap/>
        <w:overflowPunct/>
        <w:topLinePunct w:val="0"/>
        <w:autoSpaceDE/>
        <w:autoSpaceDN/>
        <w:bidi w:val="0"/>
        <w:adjustRightInd/>
        <w:snapToGrid/>
        <w:spacing w:beforeAutospacing="0" w:afterAutospacing="0" w:line="460" w:lineRule="exact"/>
        <w:ind w:firstLine="420"/>
        <w:textAlignment w:val="auto"/>
        <w:rPr>
          <w:rFonts w:hint="eastAsia" w:ascii="仿宋_GB2312" w:hAnsi="宋体" w:eastAsia="仿宋_GB2312" w:cs="宋体"/>
          <w:color w:val="auto"/>
          <w:shd w:val="clear" w:color="auto" w:fill="FFFFFF"/>
          <w:lang w:eastAsia="zh-CN"/>
        </w:rPr>
      </w:pPr>
      <w:r>
        <w:rPr>
          <w:rFonts w:hint="eastAsia" w:ascii="仿宋_GB2312" w:hAnsi="宋体" w:eastAsia="仿宋_GB2312" w:cs="宋体"/>
          <w:color w:val="auto"/>
          <w:shd w:val="clear" w:color="auto" w:fill="FFFFFF"/>
        </w:rPr>
        <w:t>本项目属于</w:t>
      </w:r>
      <w:r>
        <w:rPr>
          <w:rFonts w:hint="eastAsia" w:ascii="仿宋_GB2312" w:hAnsi="宋体" w:eastAsia="仿宋_GB2312" w:cs="宋体"/>
          <w:color w:val="auto"/>
          <w:shd w:val="clear" w:color="auto" w:fill="FFFFFF"/>
          <w:lang w:eastAsia="zh-CN"/>
        </w:rPr>
        <w:t>养老</w:t>
      </w:r>
      <w:r>
        <w:rPr>
          <w:rFonts w:hint="eastAsia" w:ascii="仿宋_GB2312" w:hAnsi="宋体" w:eastAsia="仿宋_GB2312" w:cs="宋体"/>
          <w:color w:val="auto"/>
          <w:shd w:val="clear" w:color="auto" w:fill="FFFFFF"/>
        </w:rPr>
        <w:t>服务类，</w:t>
      </w:r>
      <w:r>
        <w:rPr>
          <w:rFonts w:hint="eastAsia" w:ascii="仿宋_GB2312" w:hAnsi="宋体" w:eastAsia="仿宋_GB2312" w:cs="宋体"/>
          <w:color w:val="auto"/>
          <w:shd w:val="clear" w:color="auto" w:fill="FFFFFF"/>
          <w:lang w:eastAsia="zh-CN"/>
        </w:rPr>
        <w:t>为</w:t>
      </w:r>
      <w:r>
        <w:rPr>
          <w:rFonts w:hint="eastAsia" w:ascii="仿宋_GB2312" w:hAnsi="宋体" w:eastAsia="仿宋_GB2312" w:cs="宋体"/>
          <w:color w:val="auto"/>
          <w:shd w:val="clear" w:color="auto" w:fill="FFFFFF"/>
        </w:rPr>
        <w:t>广州市越秀区光塔街综合养老服务中心（颐康中心）运营项目，</w:t>
      </w:r>
      <w:r>
        <w:rPr>
          <w:rFonts w:hint="eastAsia" w:ascii="仿宋_GB2312" w:hAnsi="宋体" w:eastAsia="仿宋_GB2312" w:cs="宋体"/>
          <w:color w:val="auto"/>
          <w:shd w:val="clear" w:color="auto" w:fill="FFFFFF"/>
          <w:lang w:eastAsia="zh-CN"/>
        </w:rPr>
        <w:t>项目资金为运营经费，不包含服务资助及服务项目补助经费，奖补经费根据考核评估结果和相关文件规定执行。</w:t>
      </w:r>
    </w:p>
    <w:p>
      <w:pPr>
        <w:pStyle w:val="5"/>
        <w:widowControl/>
        <w:spacing w:beforeAutospacing="0" w:afterAutospacing="0" w:line="360" w:lineRule="atLeast"/>
        <w:ind w:firstLine="420"/>
        <w:jc w:val="center"/>
        <w:rPr>
          <w:color w:val="auto"/>
        </w:rPr>
      </w:pPr>
      <w:r>
        <w:rPr>
          <w:rFonts w:hint="eastAsia" w:ascii="宋体" w:hAnsi="宋体" w:eastAsia="宋体" w:cs="宋体"/>
          <w:b/>
          <w:bCs/>
          <w:color w:val="auto"/>
          <w:shd w:val="clear" w:color="auto" w:fill="FFFFFF"/>
        </w:rPr>
        <w:t>表1:运营经费一览表</w:t>
      </w:r>
    </w:p>
    <w:tbl>
      <w:tblPr>
        <w:tblStyle w:val="6"/>
        <w:tblW w:w="9356" w:type="dxa"/>
        <w:tblInd w:w="-134"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autofit"/>
        <w:tblCellMar>
          <w:top w:w="0" w:type="dxa"/>
          <w:left w:w="105" w:type="dxa"/>
          <w:bottom w:w="0" w:type="dxa"/>
          <w:right w:w="105" w:type="dxa"/>
        </w:tblCellMar>
      </w:tblPr>
      <w:tblGrid>
        <w:gridCol w:w="1277"/>
        <w:gridCol w:w="1275"/>
        <w:gridCol w:w="851"/>
        <w:gridCol w:w="1417"/>
        <w:gridCol w:w="1276"/>
        <w:gridCol w:w="3260"/>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1277"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黑体" w:hAnsi="黑体" w:eastAsia="黑体"/>
                <w:color w:val="auto"/>
              </w:rPr>
            </w:pPr>
            <w:r>
              <w:rPr>
                <w:rFonts w:ascii="黑体" w:hAnsi="黑体" w:eastAsia="黑体"/>
                <w:color w:val="auto"/>
              </w:rPr>
              <w:t>项目</w:t>
            </w:r>
          </w:p>
        </w:tc>
        <w:tc>
          <w:tcPr>
            <w:tcW w:w="1275"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exact"/>
              <w:jc w:val="center"/>
              <w:textAlignment w:val="auto"/>
              <w:rPr>
                <w:rFonts w:ascii="黑体" w:hAnsi="黑体" w:eastAsia="黑体"/>
                <w:color w:val="auto"/>
              </w:rPr>
            </w:pPr>
            <w:r>
              <w:rPr>
                <w:rFonts w:ascii="黑体" w:hAnsi="黑体" w:eastAsia="黑体"/>
                <w:color w:val="auto"/>
              </w:rPr>
              <w:t>设施名称</w:t>
            </w:r>
          </w:p>
        </w:tc>
        <w:tc>
          <w:tcPr>
            <w:tcW w:w="851"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ascii="黑体" w:hAnsi="黑体" w:eastAsia="黑体"/>
                <w:color w:val="auto"/>
              </w:rPr>
            </w:pPr>
            <w:r>
              <w:rPr>
                <w:rFonts w:ascii="黑体" w:hAnsi="黑体" w:eastAsia="黑体"/>
                <w:color w:val="auto"/>
              </w:rPr>
              <w:t>数目</w:t>
            </w:r>
          </w:p>
        </w:tc>
        <w:tc>
          <w:tcPr>
            <w:tcW w:w="1417"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ascii="黑体" w:hAnsi="黑体" w:eastAsia="黑体"/>
                <w:color w:val="auto"/>
              </w:rPr>
            </w:pPr>
            <w:r>
              <w:rPr>
                <w:rFonts w:hint="eastAsia" w:ascii="黑体" w:hAnsi="黑体" w:eastAsia="黑体"/>
                <w:color w:val="auto"/>
                <w:lang w:eastAsia="zh-CN"/>
              </w:rPr>
              <w:t>合同期</w:t>
            </w:r>
            <w:r>
              <w:rPr>
                <w:rFonts w:ascii="黑体" w:hAnsi="黑体" w:eastAsia="黑体"/>
                <w:color w:val="auto"/>
              </w:rPr>
              <w:t>最</w:t>
            </w:r>
            <w:r>
              <w:rPr>
                <w:rFonts w:hint="eastAsia" w:ascii="黑体" w:hAnsi="黑体" w:eastAsia="黑体"/>
                <w:color w:val="auto"/>
              </w:rPr>
              <w:t>低</w:t>
            </w:r>
            <w:r>
              <w:rPr>
                <w:rFonts w:ascii="黑体" w:hAnsi="黑体" w:eastAsia="黑体"/>
                <w:color w:val="auto"/>
              </w:rPr>
              <w:t>服务</w:t>
            </w:r>
          </w:p>
          <w:p>
            <w:pPr>
              <w:pStyle w:val="5"/>
              <w:widowControl/>
              <w:spacing w:beforeAutospacing="0" w:afterAutospacing="0" w:line="320" w:lineRule="exact"/>
              <w:jc w:val="center"/>
              <w:rPr>
                <w:rFonts w:ascii="黑体" w:hAnsi="黑体" w:eastAsia="黑体"/>
                <w:color w:val="auto"/>
              </w:rPr>
            </w:pPr>
            <w:r>
              <w:rPr>
                <w:rFonts w:ascii="黑体" w:hAnsi="黑体" w:eastAsia="黑体"/>
                <w:color w:val="auto"/>
              </w:rPr>
              <w:t>总工时</w:t>
            </w:r>
          </w:p>
        </w:tc>
        <w:tc>
          <w:tcPr>
            <w:tcW w:w="127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ascii="黑体" w:hAnsi="黑体" w:eastAsia="黑体"/>
                <w:color w:val="auto"/>
              </w:rPr>
            </w:pPr>
            <w:r>
              <w:rPr>
                <w:rFonts w:hint="eastAsia" w:ascii="黑体" w:hAnsi="黑体" w:eastAsia="黑体"/>
                <w:color w:val="auto"/>
                <w:lang w:eastAsia="zh-CN"/>
              </w:rPr>
              <w:t>合同期</w:t>
            </w:r>
            <w:r>
              <w:rPr>
                <w:rFonts w:ascii="黑体" w:hAnsi="黑体" w:eastAsia="黑体"/>
                <w:color w:val="auto"/>
              </w:rPr>
              <w:t>最高服务</w:t>
            </w:r>
          </w:p>
          <w:p>
            <w:pPr>
              <w:pStyle w:val="5"/>
              <w:widowControl/>
              <w:spacing w:beforeAutospacing="0" w:afterAutospacing="0" w:line="320" w:lineRule="exact"/>
              <w:jc w:val="center"/>
              <w:rPr>
                <w:rFonts w:ascii="黑体" w:hAnsi="黑体" w:eastAsia="黑体"/>
                <w:color w:val="auto"/>
              </w:rPr>
            </w:pPr>
            <w:r>
              <w:rPr>
                <w:rFonts w:ascii="黑体" w:hAnsi="黑体" w:eastAsia="黑体"/>
                <w:color w:val="auto"/>
              </w:rPr>
              <w:t>总工时</w:t>
            </w:r>
          </w:p>
        </w:tc>
        <w:tc>
          <w:tcPr>
            <w:tcW w:w="326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ascii="黑体" w:hAnsi="黑体" w:eastAsia="黑体"/>
                <w:color w:val="auto"/>
              </w:rPr>
            </w:pPr>
            <w:r>
              <w:rPr>
                <w:rFonts w:hint="eastAsia" w:ascii="黑体" w:hAnsi="黑体" w:eastAsia="黑体"/>
                <w:color w:val="auto"/>
                <w:lang w:eastAsia="zh-CN"/>
              </w:rPr>
              <w:t>合同期（</w:t>
            </w:r>
            <w:r>
              <w:rPr>
                <w:rFonts w:hint="eastAsia" w:ascii="黑体" w:hAnsi="黑体" w:eastAsia="黑体"/>
                <w:color w:val="auto"/>
              </w:rPr>
              <w:t>202</w:t>
            </w:r>
            <w:r>
              <w:rPr>
                <w:rFonts w:hint="eastAsia" w:ascii="黑体" w:hAnsi="黑体" w:eastAsia="黑体"/>
                <w:color w:val="auto"/>
                <w:lang w:val="en-US" w:eastAsia="zh-CN"/>
              </w:rPr>
              <w:t>3</w:t>
            </w:r>
            <w:r>
              <w:rPr>
                <w:rFonts w:ascii="黑体" w:hAnsi="黑体" w:eastAsia="黑体"/>
                <w:color w:val="auto"/>
              </w:rPr>
              <w:t>年</w:t>
            </w:r>
            <w:r>
              <w:rPr>
                <w:rFonts w:hint="eastAsia" w:ascii="黑体" w:hAnsi="黑体" w:eastAsia="黑体"/>
                <w:color w:val="auto"/>
                <w:lang w:val="en-US" w:eastAsia="zh-CN"/>
              </w:rPr>
              <w:t>9月至</w:t>
            </w:r>
            <w:r>
              <w:rPr>
                <w:rFonts w:hint="eastAsia" w:ascii="黑体" w:hAnsi="黑体" w:eastAsia="黑体"/>
                <w:color w:val="auto"/>
              </w:rPr>
              <w:t>202</w:t>
            </w:r>
            <w:r>
              <w:rPr>
                <w:rFonts w:hint="eastAsia" w:ascii="黑体" w:hAnsi="黑体" w:eastAsia="黑体"/>
                <w:color w:val="auto"/>
                <w:lang w:val="en-US" w:eastAsia="zh-CN"/>
              </w:rPr>
              <w:t>3</w:t>
            </w:r>
            <w:r>
              <w:rPr>
                <w:rFonts w:ascii="黑体" w:hAnsi="黑体" w:eastAsia="黑体"/>
                <w:color w:val="auto"/>
              </w:rPr>
              <w:t>年</w:t>
            </w:r>
            <w:r>
              <w:rPr>
                <w:rFonts w:hint="eastAsia" w:ascii="黑体" w:hAnsi="黑体" w:eastAsia="黑体"/>
                <w:color w:val="auto"/>
                <w:lang w:val="en-US" w:eastAsia="zh-CN"/>
              </w:rPr>
              <w:t>12月）</w:t>
            </w:r>
            <w:r>
              <w:rPr>
                <w:rFonts w:ascii="黑体" w:hAnsi="黑体" w:eastAsia="黑体"/>
                <w:color w:val="auto"/>
              </w:rPr>
              <w:t>采购预算</w:t>
            </w:r>
            <w:r>
              <w:rPr>
                <w:rFonts w:hint="eastAsia" w:ascii="黑体" w:hAnsi="黑体" w:eastAsia="黑体"/>
                <w:color w:val="auto"/>
              </w:rPr>
              <w:t xml:space="preserve"> </w:t>
            </w:r>
            <w:r>
              <w:rPr>
                <w:rFonts w:ascii="黑体" w:hAnsi="黑体" w:eastAsia="黑体"/>
                <w:color w:val="auto"/>
              </w:rPr>
              <w:t>（万元）</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1277" w:type="dxa"/>
            <w:vMerge w:val="restart"/>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exact"/>
              <w:jc w:val="both"/>
              <w:textAlignment w:val="auto"/>
              <w:rPr>
                <w:rFonts w:ascii="仿宋_GB2312" w:eastAsia="仿宋_GB2312"/>
                <w:color w:val="auto"/>
              </w:rPr>
            </w:pPr>
            <w:r>
              <w:rPr>
                <w:rFonts w:hint="eastAsia" w:ascii="仿宋_GB2312" w:eastAsia="仿宋_GB2312"/>
                <w:color w:val="auto"/>
                <w:spacing w:val="15"/>
              </w:rPr>
              <w:t>广州市越秀区光塔街</w:t>
            </w:r>
            <w:r>
              <w:rPr>
                <w:rFonts w:hint="eastAsia" w:ascii="仿宋_GB2312" w:eastAsia="仿宋_GB2312"/>
                <w:color w:val="auto"/>
                <w:spacing w:val="15"/>
                <w:lang w:eastAsia="zh-CN"/>
              </w:rPr>
              <w:t>综合养老服务中心（颐康中心）运营</w:t>
            </w:r>
            <w:r>
              <w:rPr>
                <w:rFonts w:hint="eastAsia" w:ascii="仿宋_GB2312" w:eastAsia="仿宋_GB2312"/>
                <w:color w:val="auto"/>
                <w:spacing w:val="15"/>
              </w:rPr>
              <w:t>项目</w:t>
            </w:r>
          </w:p>
        </w:tc>
        <w:tc>
          <w:tcPr>
            <w:tcW w:w="127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hint="eastAsia" w:ascii="仿宋_GB2312" w:eastAsia="仿宋_GB2312"/>
                <w:color w:val="auto"/>
                <w:lang w:eastAsia="zh-CN"/>
              </w:rPr>
            </w:pPr>
            <w:r>
              <w:rPr>
                <w:rFonts w:hint="eastAsia" w:ascii="仿宋_GB2312" w:eastAsia="仿宋_GB2312"/>
                <w:color w:val="auto"/>
                <w:spacing w:val="15"/>
              </w:rPr>
              <w:t>光塔街</w:t>
            </w:r>
            <w:r>
              <w:rPr>
                <w:rFonts w:hint="eastAsia" w:ascii="仿宋_GB2312" w:eastAsia="仿宋_GB2312"/>
                <w:color w:val="auto"/>
                <w:spacing w:val="15"/>
                <w:lang w:eastAsia="zh-CN"/>
              </w:rPr>
              <w:t>综合养老服务中心（颐康中心）</w:t>
            </w:r>
          </w:p>
        </w:tc>
        <w:tc>
          <w:tcPr>
            <w:tcW w:w="851"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ascii="仿宋_GB2312" w:eastAsia="仿宋_GB2312"/>
                <w:color w:val="auto"/>
              </w:rPr>
            </w:pPr>
            <w:r>
              <w:rPr>
                <w:rFonts w:hint="eastAsia" w:ascii="仿宋_GB2312" w:eastAsia="仿宋_GB2312"/>
                <w:color w:val="auto"/>
                <w:spacing w:val="15"/>
              </w:rPr>
              <w:t>1</w:t>
            </w:r>
          </w:p>
        </w:tc>
        <w:tc>
          <w:tcPr>
            <w:tcW w:w="1417"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both"/>
              <w:rPr>
                <w:rFonts w:hint="eastAsia" w:ascii="仿宋_GB2312" w:eastAsia="仿宋_GB2312"/>
                <w:color w:val="auto"/>
                <w:lang w:val="en-US" w:eastAsia="zh-CN"/>
              </w:rPr>
            </w:pPr>
            <w:r>
              <w:rPr>
                <w:rFonts w:hint="eastAsia" w:ascii="仿宋_GB2312" w:eastAsia="仿宋_GB2312"/>
                <w:color w:val="auto"/>
                <w:spacing w:val="15"/>
                <w:lang w:val="en-US" w:eastAsia="zh-CN"/>
              </w:rPr>
              <w:t>3663</w:t>
            </w:r>
            <w:r>
              <w:rPr>
                <w:rFonts w:hint="eastAsia" w:ascii="仿宋_GB2312" w:eastAsia="仿宋_GB2312"/>
                <w:color w:val="auto"/>
                <w:spacing w:val="15"/>
              </w:rPr>
              <w:t>小时</w:t>
            </w:r>
            <w:r>
              <w:rPr>
                <w:rFonts w:hint="eastAsia" w:ascii="仿宋_GB2312" w:eastAsia="仿宋_GB2312"/>
                <w:color w:val="auto"/>
                <w:spacing w:val="15"/>
                <w:lang w:val="en-US" w:eastAsia="zh-CN"/>
              </w:rPr>
              <w:t>/合同期</w:t>
            </w:r>
          </w:p>
        </w:tc>
        <w:tc>
          <w:tcPr>
            <w:tcW w:w="1276"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both"/>
              <w:rPr>
                <w:rFonts w:hint="eastAsia" w:ascii="仿宋_GB2312" w:eastAsia="仿宋_GB2312"/>
                <w:color w:val="auto"/>
                <w:lang w:val="en-US" w:eastAsia="zh-CN"/>
              </w:rPr>
            </w:pPr>
            <w:r>
              <w:rPr>
                <w:rFonts w:hint="eastAsia" w:ascii="仿宋_GB2312" w:eastAsia="仿宋_GB2312"/>
                <w:color w:val="auto"/>
                <w:spacing w:val="15"/>
                <w:lang w:val="en-US" w:eastAsia="zh-CN"/>
              </w:rPr>
              <w:t>5051</w:t>
            </w:r>
            <w:r>
              <w:rPr>
                <w:rFonts w:hint="eastAsia" w:ascii="仿宋_GB2312" w:eastAsia="仿宋_GB2312"/>
                <w:color w:val="auto"/>
                <w:spacing w:val="15"/>
              </w:rPr>
              <w:t>小时</w:t>
            </w:r>
            <w:r>
              <w:rPr>
                <w:rFonts w:hint="eastAsia" w:ascii="仿宋_GB2312" w:eastAsia="仿宋_GB2312"/>
                <w:color w:val="auto"/>
                <w:spacing w:val="15"/>
                <w:lang w:val="en-US" w:eastAsia="zh-CN"/>
              </w:rPr>
              <w:t>/合同期</w:t>
            </w:r>
          </w:p>
        </w:tc>
        <w:tc>
          <w:tcPr>
            <w:tcW w:w="3260"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rPr>
                <w:rFonts w:ascii="仿宋_GB2312" w:eastAsia="仿宋_GB2312"/>
                <w:color w:val="auto"/>
              </w:rPr>
            </w:pPr>
            <w:r>
              <w:rPr>
                <w:rFonts w:hint="eastAsia" w:ascii="仿宋_GB2312" w:hAnsi="宋体" w:eastAsia="仿宋_GB2312" w:cs="宋体"/>
                <w:color w:val="auto"/>
                <w:spacing w:val="15"/>
              </w:rPr>
              <w:t>★</w:t>
            </w:r>
            <w:r>
              <w:rPr>
                <w:rFonts w:hint="eastAsia" w:ascii="仿宋_GB2312" w:eastAsia="仿宋_GB2312"/>
                <w:color w:val="auto"/>
                <w:spacing w:val="15"/>
              </w:rPr>
              <w:t>人民币</w:t>
            </w:r>
            <w:r>
              <w:rPr>
                <w:rFonts w:hint="eastAsia" w:ascii="仿宋_GB2312" w:eastAsia="仿宋_GB2312"/>
                <w:color w:val="auto"/>
                <w:spacing w:val="15"/>
                <w:lang w:val="en-US" w:eastAsia="zh-CN"/>
              </w:rPr>
              <w:t>10</w:t>
            </w:r>
            <w:r>
              <w:rPr>
                <w:rFonts w:hint="eastAsia" w:ascii="仿宋_GB2312" w:eastAsia="仿宋_GB2312"/>
                <w:color w:val="auto"/>
                <w:spacing w:val="15"/>
              </w:rPr>
              <w:t>万元，如存在前一机构延长服务期限的情况，中标单位收到采购人首笔付款后5个工作日内，根据延长服务天数支付给上一家延长服务机构。服务工时量按实际延长时间相应比例由旧两机构分配。</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127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仿宋_GB2312" w:eastAsia="仿宋_GB2312"/>
                <w:color w:val="auto"/>
                <w:sz w:val="24"/>
              </w:rPr>
            </w:pPr>
          </w:p>
        </w:tc>
        <w:tc>
          <w:tcPr>
            <w:tcW w:w="127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300" w:lineRule="exact"/>
              <w:textAlignment w:val="auto"/>
              <w:rPr>
                <w:rFonts w:ascii="仿宋_GB2312" w:eastAsia="仿宋_GB2312"/>
                <w:color w:val="auto"/>
              </w:rPr>
            </w:pPr>
            <w:r>
              <w:rPr>
                <w:rFonts w:hint="eastAsia" w:ascii="仿宋_GB2312" w:eastAsia="仿宋_GB2312"/>
                <w:color w:val="auto"/>
                <w:spacing w:val="15"/>
              </w:rPr>
              <w:t>光塔街道社区长者饭堂</w:t>
            </w:r>
          </w:p>
        </w:tc>
        <w:tc>
          <w:tcPr>
            <w:tcW w:w="851"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20" w:lineRule="exact"/>
              <w:jc w:val="center"/>
              <w:rPr>
                <w:rFonts w:hint="eastAsia" w:ascii="仿宋_GB2312" w:eastAsia="仿宋_GB2312"/>
                <w:color w:val="auto"/>
                <w:lang w:eastAsia="zh-CN"/>
              </w:rPr>
            </w:pPr>
            <w:r>
              <w:rPr>
                <w:rFonts w:hint="eastAsia" w:ascii="仿宋_GB2312" w:eastAsia="仿宋_GB2312"/>
                <w:color w:val="auto"/>
                <w:spacing w:val="15"/>
                <w:lang w:val="en-US" w:eastAsia="zh-CN"/>
              </w:rPr>
              <w:t>3</w:t>
            </w:r>
          </w:p>
        </w:tc>
        <w:tc>
          <w:tcPr>
            <w:tcW w:w="1417"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20" w:lineRule="exact"/>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20" w:lineRule="exact"/>
              <w:rPr>
                <w:rFonts w:ascii="仿宋_GB2312" w:eastAsia="仿宋_GB2312"/>
                <w:color w:val="auto"/>
                <w:sz w:val="24"/>
              </w:rPr>
            </w:pPr>
          </w:p>
        </w:tc>
        <w:tc>
          <w:tcPr>
            <w:tcW w:w="326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20" w:lineRule="exact"/>
              <w:rPr>
                <w:rFonts w:ascii="仿宋_GB2312" w:eastAsia="仿宋_GB2312"/>
                <w:color w:val="auto"/>
                <w:sz w:val="24"/>
              </w:rPr>
            </w:pPr>
          </w:p>
        </w:tc>
      </w:tr>
    </w:tbl>
    <w:p>
      <w:pPr>
        <w:pStyle w:val="5"/>
        <w:widowControl/>
        <w:spacing w:beforeAutospacing="0" w:afterAutospacing="0" w:line="500" w:lineRule="exact"/>
        <w:ind w:firstLine="420"/>
        <w:rPr>
          <w:rFonts w:ascii="仿宋_GB2312" w:eastAsia="仿宋_GB2312"/>
          <w:color w:val="auto"/>
        </w:rPr>
      </w:pPr>
      <w:r>
        <w:rPr>
          <w:rFonts w:ascii="Calibri" w:hAnsi="Calibri" w:eastAsia="微软雅黑" w:cs="Calibri"/>
          <w:color w:val="auto"/>
          <w:shd w:val="clear" w:color="auto" w:fill="FFFFFF"/>
        </w:rPr>
        <w:t>  </w:t>
      </w:r>
      <w:r>
        <w:rPr>
          <w:rFonts w:hint="eastAsia" w:ascii="仿宋_GB2312" w:hAnsi="宋体" w:eastAsia="仿宋_GB2312" w:cs="宋体"/>
          <w:color w:val="auto"/>
          <w:shd w:val="clear" w:color="auto" w:fill="FFFFFF"/>
        </w:rPr>
        <w:t>★资金来源：财政拨款</w:t>
      </w:r>
      <w:r>
        <w:rPr>
          <w:rFonts w:hint="eastAsia" w:ascii="仿宋_GB2312" w:hAnsi="宋体" w:eastAsia="仿宋_GB2312" w:cs="宋体"/>
          <w:color w:val="auto"/>
          <w:shd w:val="clear" w:color="auto" w:fill="FFFFFF"/>
          <w:lang w:eastAsia="zh-CN"/>
        </w:rPr>
        <w:t>，如因财政拨款未到帐或法律法规政策调整，导致采购人逾期付款或未能付款，则双方合同自动终止，采购人无需承担责任</w:t>
      </w:r>
      <w:r>
        <w:rPr>
          <w:rFonts w:hint="eastAsia" w:ascii="仿宋_GB2312" w:hAnsi="宋体" w:eastAsia="仿宋_GB2312" w:cs="宋体"/>
          <w:color w:val="auto"/>
          <w:shd w:val="clear" w:color="auto" w:fill="FFFFFF"/>
        </w:rPr>
        <w:t>。投标人必须对本项目整体内容进行响应，只对本项目部分内容进行响应的将被视为无效响应，投标的计划服务总指标低于或高于本项目规定的服务总指标（最低指标、最高指标）的也将视为无效响应。</w:t>
      </w:r>
    </w:p>
    <w:p>
      <w:pPr>
        <w:pStyle w:val="5"/>
        <w:widowControl/>
        <w:spacing w:beforeAutospacing="0" w:afterAutospacing="0" w:line="360" w:lineRule="atLeast"/>
        <w:ind w:firstLine="420"/>
        <w:rPr>
          <w:color w:val="auto"/>
        </w:rPr>
      </w:pPr>
    </w:p>
    <w:p>
      <w:pPr>
        <w:pStyle w:val="5"/>
        <w:widowControl/>
        <w:spacing w:beforeAutospacing="0" w:afterAutospacing="0" w:line="360" w:lineRule="atLeast"/>
        <w:ind w:firstLine="420"/>
        <w:jc w:val="center"/>
        <w:rPr>
          <w:rFonts w:eastAsia="宋体"/>
          <w:b/>
          <w:color w:val="auto"/>
        </w:rPr>
      </w:pPr>
      <w:r>
        <w:rPr>
          <w:rFonts w:hint="eastAsia" w:ascii="宋体" w:hAnsi="宋体" w:eastAsia="宋体" w:cs="宋体"/>
          <w:b/>
          <w:bCs/>
          <w:color w:val="auto"/>
          <w:shd w:val="clear" w:color="auto" w:fill="FFFFFF"/>
        </w:rPr>
        <w:t>表2：服务资助经费一览表</w:t>
      </w:r>
    </w:p>
    <w:tbl>
      <w:tblPr>
        <w:tblStyle w:val="6"/>
        <w:tblW w:w="849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autofit"/>
        <w:tblCellMar>
          <w:top w:w="0" w:type="dxa"/>
          <w:left w:w="105" w:type="dxa"/>
          <w:bottom w:w="0" w:type="dxa"/>
          <w:right w:w="105" w:type="dxa"/>
        </w:tblCellMar>
      </w:tblPr>
      <w:tblGrid>
        <w:gridCol w:w="2985"/>
        <w:gridCol w:w="2850"/>
        <w:gridCol w:w="265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rPr>
                <w:rFonts w:ascii="黑体" w:hAnsi="黑体" w:eastAsia="黑体"/>
                <w:color w:val="auto"/>
              </w:rPr>
            </w:pPr>
            <w:r>
              <w:rPr>
                <w:rFonts w:hint="eastAsia" w:ascii="黑体" w:hAnsi="黑体" w:eastAsia="黑体"/>
                <w:bCs/>
                <w:color w:val="auto"/>
              </w:rPr>
              <w:t>居家养老</w:t>
            </w:r>
            <w:r>
              <w:rPr>
                <w:rFonts w:ascii="黑体" w:hAnsi="黑体" w:eastAsia="黑体"/>
                <w:bCs/>
                <w:color w:val="auto"/>
              </w:rPr>
              <w:t>资助对象类型</w:t>
            </w:r>
          </w:p>
        </w:tc>
        <w:tc>
          <w:tcPr>
            <w:tcW w:w="2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黑体" w:hAnsi="黑体" w:eastAsia="黑体"/>
                <w:color w:val="auto"/>
              </w:rPr>
            </w:pPr>
            <w:r>
              <w:rPr>
                <w:rFonts w:ascii="黑体" w:hAnsi="黑体" w:eastAsia="黑体"/>
                <w:bCs/>
                <w:color w:val="auto"/>
              </w:rPr>
              <w:t>服务人数（约）</w:t>
            </w:r>
          </w:p>
        </w:tc>
        <w:tc>
          <w:tcPr>
            <w:tcW w:w="2655"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rPr>
                <w:rFonts w:ascii="黑体" w:hAnsi="黑体" w:eastAsia="黑体"/>
                <w:color w:val="auto"/>
              </w:rPr>
            </w:pPr>
            <w:r>
              <w:rPr>
                <w:rFonts w:ascii="黑体" w:hAnsi="黑体" w:eastAsia="黑体"/>
                <w:bCs/>
                <w:color w:val="auto"/>
              </w:rPr>
              <w:t>资助金额（人/元/月）</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仿宋_GB2312" w:eastAsia="仿宋_GB2312"/>
                <w:color w:val="auto"/>
              </w:rPr>
            </w:pPr>
            <w:r>
              <w:rPr>
                <w:rFonts w:hint="eastAsia" w:ascii="仿宋_GB2312" w:eastAsia="仿宋_GB2312"/>
                <w:color w:val="auto"/>
              </w:rPr>
              <w:t>A类</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hint="default" w:ascii="仿宋_GB2312" w:eastAsia="仿宋_GB2312"/>
                <w:color w:val="auto"/>
                <w:lang w:val="en-US" w:eastAsia="zh-CN"/>
              </w:rPr>
            </w:pPr>
            <w:r>
              <w:rPr>
                <w:rFonts w:hint="eastAsia" w:ascii="仿宋_GB2312" w:eastAsia="仿宋_GB2312"/>
                <w:color w:val="auto"/>
                <w:lang w:val="en-US" w:eastAsia="zh-CN"/>
              </w:rPr>
              <w:t>10</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仿宋_GB2312" w:eastAsia="仿宋_GB2312"/>
                <w:color w:val="auto"/>
              </w:rPr>
            </w:pPr>
            <w:r>
              <w:rPr>
                <w:rFonts w:hint="eastAsia" w:ascii="仿宋_GB2312" w:eastAsia="仿宋_GB2312"/>
                <w:color w:val="auto"/>
              </w:rPr>
              <w:t>600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B类</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hint="default" w:ascii="仿宋_GB2312" w:eastAsia="仿宋_GB2312"/>
                <w:color w:val="auto"/>
                <w:lang w:val="en-US" w:eastAsia="zh-CN"/>
              </w:rPr>
            </w:pPr>
            <w:r>
              <w:rPr>
                <w:rFonts w:hint="eastAsia" w:ascii="仿宋_GB2312" w:eastAsia="仿宋_GB2312"/>
                <w:color w:val="auto"/>
                <w:lang w:val="en-US" w:eastAsia="zh-CN"/>
              </w:rPr>
              <w:t>120</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400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C类</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5</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200</w:t>
            </w:r>
          </w:p>
        </w:tc>
      </w:tr>
    </w:tbl>
    <w:p>
      <w:pPr>
        <w:pStyle w:val="5"/>
        <w:widowControl/>
        <w:spacing w:beforeAutospacing="0" w:afterAutospacing="0" w:line="450" w:lineRule="atLeast"/>
        <w:ind w:firstLine="420"/>
        <w:rPr>
          <w:color w:val="auto"/>
        </w:rPr>
      </w:pPr>
    </w:p>
    <w:tbl>
      <w:tblPr>
        <w:tblStyle w:val="6"/>
        <w:tblW w:w="8490"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autofit"/>
        <w:tblCellMar>
          <w:top w:w="0" w:type="dxa"/>
          <w:left w:w="105" w:type="dxa"/>
          <w:bottom w:w="0" w:type="dxa"/>
          <w:right w:w="105" w:type="dxa"/>
        </w:tblCellMar>
      </w:tblPr>
      <w:tblGrid>
        <w:gridCol w:w="2985"/>
        <w:gridCol w:w="2850"/>
        <w:gridCol w:w="2655"/>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黑体" w:hAnsi="黑体" w:eastAsia="黑体"/>
                <w:bCs/>
                <w:color w:val="auto"/>
              </w:rPr>
            </w:pPr>
            <w:r>
              <w:rPr>
                <w:rFonts w:hint="eastAsia" w:ascii="黑体" w:hAnsi="黑体" w:eastAsia="黑体"/>
                <w:bCs/>
                <w:color w:val="auto"/>
              </w:rPr>
              <w:t>特困</w:t>
            </w:r>
            <w:r>
              <w:rPr>
                <w:rFonts w:ascii="黑体" w:hAnsi="黑体" w:eastAsia="黑体"/>
                <w:bCs/>
                <w:color w:val="auto"/>
              </w:rPr>
              <w:t>资助对象类型</w:t>
            </w:r>
          </w:p>
        </w:tc>
        <w:tc>
          <w:tcPr>
            <w:tcW w:w="2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黑体" w:hAnsi="黑体" w:eastAsia="黑体"/>
                <w:bCs/>
                <w:color w:val="auto"/>
              </w:rPr>
            </w:pPr>
            <w:r>
              <w:rPr>
                <w:rFonts w:ascii="黑体" w:hAnsi="黑体" w:eastAsia="黑体"/>
                <w:bCs/>
                <w:color w:val="auto"/>
              </w:rPr>
              <w:t>服务人数（约）</w:t>
            </w:r>
          </w:p>
        </w:tc>
        <w:tc>
          <w:tcPr>
            <w:tcW w:w="2655"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rPr>
                <w:rFonts w:ascii="黑体" w:hAnsi="黑体" w:eastAsia="黑体"/>
                <w:bCs/>
                <w:color w:val="auto"/>
              </w:rPr>
            </w:pPr>
            <w:r>
              <w:rPr>
                <w:rFonts w:ascii="黑体" w:hAnsi="黑体" w:eastAsia="黑体"/>
                <w:bCs/>
                <w:color w:val="auto"/>
              </w:rPr>
              <w:t>资助金额（人/元/月）</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ascii="仿宋_GB2312" w:eastAsia="仿宋_GB2312"/>
                <w:color w:val="auto"/>
              </w:rPr>
            </w:pPr>
            <w:r>
              <w:rPr>
                <w:rFonts w:hint="eastAsia" w:ascii="仿宋_GB2312" w:eastAsia="仿宋_GB2312"/>
                <w:color w:val="auto"/>
              </w:rPr>
              <w:t>全失能</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ind w:firstLine="420"/>
              <w:jc w:val="center"/>
              <w:rPr>
                <w:rFonts w:hint="default" w:ascii="仿宋_GB2312" w:eastAsia="仿宋_GB2312"/>
                <w:color w:val="auto"/>
                <w:lang w:val="en-US" w:eastAsia="zh-CN"/>
              </w:rPr>
            </w:pPr>
            <w:r>
              <w:rPr>
                <w:rFonts w:hint="eastAsia" w:ascii="仿宋_GB2312" w:eastAsia="仿宋_GB2312"/>
                <w:color w:val="auto"/>
                <w:lang w:val="en-US" w:eastAsia="zh-CN"/>
              </w:rPr>
              <w:t>70</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60" w:lineRule="atLeast"/>
              <w:jc w:val="center"/>
              <w:rPr>
                <w:rFonts w:hint="default" w:ascii="仿宋_GB2312" w:eastAsia="仿宋_GB2312"/>
                <w:color w:val="auto"/>
                <w:lang w:val="en-US" w:eastAsia="zh-CN"/>
              </w:rPr>
            </w:pPr>
            <w:r>
              <w:rPr>
                <w:rFonts w:hint="eastAsia" w:ascii="仿宋_GB2312" w:eastAsia="仿宋_GB2312"/>
                <w:color w:val="auto"/>
                <w:lang w:val="en-US" w:eastAsia="zh-CN"/>
              </w:rPr>
              <w:t>1380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半失能</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ind w:firstLine="420"/>
              <w:jc w:val="center"/>
              <w:rPr>
                <w:rFonts w:hint="default" w:ascii="仿宋_GB2312" w:eastAsia="仿宋_GB2312"/>
                <w:color w:val="auto"/>
                <w:lang w:val="en-US" w:eastAsia="zh-CN"/>
              </w:rPr>
            </w:pPr>
            <w:r>
              <w:rPr>
                <w:rFonts w:hint="eastAsia" w:ascii="仿宋_GB2312" w:eastAsia="仿宋_GB2312"/>
                <w:color w:val="auto"/>
                <w:lang w:val="en-US" w:eastAsia="zh-CN"/>
              </w:rPr>
              <w:t>85</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hint="default" w:ascii="仿宋_GB2312" w:eastAsia="仿宋_GB2312"/>
                <w:color w:val="auto"/>
                <w:lang w:val="en-US" w:eastAsia="zh-CN"/>
              </w:rPr>
            </w:pPr>
            <w:r>
              <w:rPr>
                <w:rFonts w:hint="eastAsia" w:ascii="仿宋_GB2312" w:eastAsia="仿宋_GB2312"/>
                <w:color w:val="auto"/>
                <w:lang w:val="en-US" w:eastAsia="zh-CN"/>
              </w:rPr>
              <w:t>690</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2985" w:type="dxa"/>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ascii="仿宋_GB2312" w:eastAsia="仿宋_GB2312"/>
                <w:color w:val="auto"/>
              </w:rPr>
            </w:pPr>
            <w:r>
              <w:rPr>
                <w:rFonts w:hint="eastAsia" w:ascii="仿宋_GB2312" w:eastAsia="仿宋_GB2312"/>
                <w:color w:val="auto"/>
              </w:rPr>
              <w:t>全自理</w:t>
            </w:r>
          </w:p>
        </w:tc>
        <w:tc>
          <w:tcPr>
            <w:tcW w:w="2850"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ind w:firstLine="420"/>
              <w:jc w:val="center"/>
              <w:rPr>
                <w:rFonts w:hint="default" w:ascii="仿宋_GB2312" w:eastAsia="仿宋_GB2312"/>
                <w:color w:val="auto"/>
                <w:lang w:val="en-US" w:eastAsia="zh-CN"/>
              </w:rPr>
            </w:pPr>
            <w:r>
              <w:rPr>
                <w:rFonts w:hint="eastAsia" w:ascii="仿宋_GB2312" w:eastAsia="仿宋_GB2312"/>
                <w:color w:val="auto"/>
                <w:lang w:val="en-US" w:eastAsia="zh-CN"/>
              </w:rPr>
              <w:t>30</w:t>
            </w:r>
          </w:p>
        </w:tc>
        <w:tc>
          <w:tcPr>
            <w:tcW w:w="2655"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wordWrap w:val="0"/>
              <w:spacing w:beforeAutospacing="0" w:afterAutospacing="0" w:line="360" w:lineRule="atLeast"/>
              <w:jc w:val="center"/>
              <w:rPr>
                <w:rFonts w:hint="default" w:ascii="仿宋_GB2312" w:eastAsia="仿宋_GB2312"/>
                <w:color w:val="auto"/>
                <w:lang w:val="en-US" w:eastAsia="zh-CN"/>
              </w:rPr>
            </w:pPr>
            <w:r>
              <w:rPr>
                <w:rFonts w:hint="eastAsia" w:ascii="仿宋_GB2312" w:eastAsia="仿宋_GB2312"/>
                <w:color w:val="auto"/>
                <w:lang w:val="en-US" w:eastAsia="zh-CN"/>
              </w:rPr>
              <w:t>46</w:t>
            </w:r>
          </w:p>
        </w:tc>
      </w:tr>
    </w:tbl>
    <w:p>
      <w:pPr>
        <w:pStyle w:val="5"/>
        <w:widowControl/>
        <w:spacing w:beforeAutospacing="0" w:afterAutospacing="0" w:line="500" w:lineRule="exact"/>
        <w:ind w:firstLine="420"/>
        <w:rPr>
          <w:rFonts w:ascii="黑体" w:hAnsi="黑体" w:eastAsia="黑体"/>
          <w:color w:val="auto"/>
        </w:rPr>
      </w:pPr>
      <w:r>
        <w:rPr>
          <w:rFonts w:hint="eastAsia" w:ascii="黑体" w:hAnsi="黑体" w:eastAsia="黑体" w:cs="宋体"/>
          <w:color w:val="auto"/>
          <w:shd w:val="clear" w:color="auto" w:fill="FFFFFF"/>
        </w:rPr>
        <w:t>二、项目需求</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Cs/>
          <w:color w:val="auto"/>
          <w:shd w:val="clear" w:color="auto" w:fill="FFFFFF"/>
        </w:rPr>
        <w:t>（一）项目内容</w:t>
      </w:r>
    </w:p>
    <w:p>
      <w:pPr>
        <w:pStyle w:val="5"/>
        <w:widowControl/>
        <w:spacing w:beforeAutospacing="0" w:afterAutospacing="0" w:line="500" w:lineRule="exact"/>
        <w:ind w:firstLine="540" w:firstLineChars="225"/>
        <w:rPr>
          <w:rFonts w:hint="eastAsia" w:ascii="仿宋_GB2312" w:eastAsia="仿宋_GB2312"/>
          <w:color w:val="auto"/>
          <w:lang w:eastAsia="zh-CN"/>
        </w:rPr>
      </w:pPr>
      <w:r>
        <w:rPr>
          <w:rFonts w:hint="eastAsia" w:ascii="仿宋_GB2312" w:hAnsi="宋体" w:eastAsia="仿宋_GB2312" w:cs="宋体"/>
          <w:color w:val="auto"/>
          <w:shd w:val="clear" w:color="auto" w:fill="FFFFFF"/>
        </w:rPr>
        <w:t>根据</w:t>
      </w:r>
      <w:r>
        <w:rPr>
          <w:rFonts w:hint="eastAsia" w:ascii="仿宋_GB2312" w:hAnsi="宋体" w:eastAsia="仿宋_GB2312" w:cs="宋体"/>
          <w:color w:val="auto"/>
          <w:shd w:val="clear" w:color="auto" w:fill="FFFFFF"/>
          <w:lang w:eastAsia="zh-CN"/>
        </w:rPr>
        <w:t>《</w:t>
      </w:r>
      <w:r>
        <w:rPr>
          <w:rFonts w:hint="eastAsia" w:ascii="仿宋_GB2312" w:hAnsi="宋体" w:eastAsia="仿宋_GB2312" w:cs="宋体"/>
          <w:color w:val="auto"/>
          <w:shd w:val="clear" w:color="auto" w:fill="FFFFFF"/>
        </w:rPr>
        <w:t>广州市人民政府办公厅关于印发广州市居家社区养老服务管理办法的通知</w:t>
      </w:r>
      <w:r>
        <w:rPr>
          <w:rFonts w:hint="eastAsia" w:ascii="仿宋_GB2312" w:hAnsi="宋体" w:eastAsia="仿宋_GB2312" w:cs="宋体"/>
          <w:color w:val="auto"/>
          <w:shd w:val="clear" w:color="auto" w:fill="FFFFFF"/>
          <w:lang w:eastAsia="zh-CN"/>
        </w:rPr>
        <w:t>》</w:t>
      </w:r>
      <w:r>
        <w:rPr>
          <w:rFonts w:hint="eastAsia" w:ascii="仿宋_GB2312" w:hAnsi="宋体" w:eastAsia="仿宋_GB2312" w:cs="宋体"/>
          <w:color w:val="auto"/>
          <w:shd w:val="clear" w:color="auto" w:fill="FFFFFF"/>
        </w:rPr>
        <w:t>（ 穗府办规〔2022〕13 号）</w:t>
      </w:r>
      <w:r>
        <w:rPr>
          <w:rFonts w:hint="eastAsia" w:ascii="仿宋_GB2312" w:hAnsi="宋体" w:eastAsia="仿宋_GB2312" w:cs="宋体"/>
          <w:color w:val="auto"/>
          <w:shd w:val="clear" w:color="auto" w:fill="FFFFFF"/>
          <w:lang w:eastAsia="zh-CN"/>
        </w:rPr>
        <w:t>、</w:t>
      </w:r>
      <w:r>
        <w:rPr>
          <w:rFonts w:hint="eastAsia" w:ascii="仿宋_GB2312" w:hAnsi="宋体" w:eastAsia="仿宋_GB2312" w:cs="宋体"/>
          <w:color w:val="auto"/>
          <w:shd w:val="clear" w:color="auto" w:fill="FFFFFF"/>
        </w:rPr>
        <w:t>广州市地方标准《社区居家养老服务规范》</w:t>
      </w:r>
      <w:r>
        <w:rPr>
          <w:rFonts w:hint="eastAsia" w:ascii="仿宋_GB2312" w:hAnsi="宋体" w:eastAsia="仿宋_GB2312" w:cs="宋体"/>
          <w:color w:val="auto"/>
          <w:shd w:val="clear" w:color="auto" w:fill="FFFFFF"/>
          <w:lang w:eastAsia="zh-CN"/>
        </w:rPr>
        <w:t>、广州市街镇综合养老服务中心（颐康中心）和村居颐康服务站建设提升运营指引（试行）等，满足</w:t>
      </w:r>
      <w:r>
        <w:rPr>
          <w:rFonts w:hint="eastAsia" w:ascii="仿宋_GB2312" w:hAnsi="宋体" w:eastAsia="仿宋_GB2312" w:cs="宋体"/>
          <w:color w:val="auto"/>
          <w:shd w:val="clear" w:color="auto" w:fill="FFFFFF"/>
        </w:rPr>
        <w:t>光塔街道户籍和居住的老年人</w:t>
      </w:r>
      <w:r>
        <w:rPr>
          <w:rFonts w:hint="eastAsia" w:ascii="仿宋_GB2312" w:hAnsi="宋体" w:eastAsia="仿宋_GB2312" w:cs="宋体"/>
          <w:color w:val="auto"/>
          <w:shd w:val="clear" w:color="auto" w:fill="FFFFFF"/>
          <w:lang w:eastAsia="zh-CN"/>
        </w:rPr>
        <w:t>多元化、个性化的服务需求，通过全托、日托、上门等形式，</w:t>
      </w:r>
      <w:r>
        <w:rPr>
          <w:rFonts w:hint="eastAsia" w:ascii="仿宋_GB2312" w:hAnsi="宋体" w:eastAsia="仿宋_GB2312" w:cs="宋体"/>
          <w:color w:val="auto"/>
          <w:shd w:val="clear" w:color="auto" w:fill="FFFFFF"/>
        </w:rPr>
        <w:t>提供生活照料、助餐配餐、日间托管、医疗保健、康复护理、临时托养</w:t>
      </w:r>
      <w:r>
        <w:rPr>
          <w:rFonts w:hint="eastAsia" w:ascii="仿宋_GB2312" w:hAnsi="宋体" w:eastAsia="仿宋_GB2312" w:cs="宋体"/>
          <w:color w:val="auto"/>
          <w:shd w:val="clear" w:color="auto" w:fill="FFFFFF"/>
          <w:lang w:val="en-US" w:eastAsia="zh-CN"/>
        </w:rPr>
        <w:t>（喘息服务）</w:t>
      </w:r>
      <w:r>
        <w:rPr>
          <w:rFonts w:hint="eastAsia" w:ascii="仿宋_GB2312" w:hAnsi="宋体" w:eastAsia="仿宋_GB2312" w:cs="宋体"/>
          <w:color w:val="auto"/>
          <w:shd w:val="clear" w:color="auto" w:fill="FFFFFF"/>
        </w:rPr>
        <w:t>、文化娱乐、精神慰藉、安全援助</w:t>
      </w:r>
      <w:r>
        <w:rPr>
          <w:rFonts w:hint="eastAsia" w:ascii="仿宋_GB2312" w:hAnsi="宋体" w:eastAsia="仿宋_GB2312" w:cs="宋体"/>
          <w:color w:val="auto"/>
          <w:shd w:val="clear" w:color="auto" w:fill="FFFFFF"/>
          <w:lang w:eastAsia="zh-CN"/>
        </w:rPr>
        <w:t>、辅具租赁、家居改造、紧急援助</w:t>
      </w:r>
      <w:r>
        <w:rPr>
          <w:rFonts w:hint="eastAsia" w:ascii="仿宋_GB2312" w:hAnsi="宋体" w:eastAsia="仿宋_GB2312" w:cs="宋体"/>
          <w:color w:val="auto"/>
          <w:shd w:val="clear" w:color="auto" w:fill="FFFFFF"/>
        </w:rPr>
        <w:t>等</w:t>
      </w:r>
      <w:r>
        <w:rPr>
          <w:rFonts w:hint="eastAsia" w:ascii="仿宋_GB2312" w:hAnsi="宋体" w:eastAsia="仿宋_GB2312" w:cs="宋体"/>
          <w:color w:val="auto"/>
          <w:shd w:val="clear" w:color="auto" w:fill="FFFFFF"/>
          <w:lang w:eastAsia="zh-CN"/>
        </w:rPr>
        <w:t>覆盖老年人全生命周期的各项养老服务项目</w:t>
      </w:r>
      <w:r>
        <w:rPr>
          <w:rFonts w:hint="eastAsia" w:ascii="仿宋_GB2312" w:hAnsi="宋体" w:eastAsia="仿宋_GB2312" w:cs="宋体"/>
          <w:color w:val="auto"/>
          <w:shd w:val="clear" w:color="auto" w:fill="FFFFFF"/>
        </w:rPr>
        <w:t>服务</w:t>
      </w:r>
      <w:r>
        <w:rPr>
          <w:rFonts w:hint="eastAsia" w:ascii="仿宋_GB2312" w:hAnsi="宋体" w:eastAsia="仿宋_GB2312" w:cs="宋体"/>
          <w:color w:val="auto"/>
          <w:shd w:val="clear" w:color="auto" w:fill="FFFFFF"/>
          <w:lang w:eastAsia="zh-CN"/>
        </w:rPr>
        <w:t>（不设临终关怀服务），以及协助光塔街完成上级部门下达的各项关于养老服务工作的任务。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
          <w:bCs/>
          <w:color w:val="auto"/>
          <w:shd w:val="clear" w:color="auto" w:fill="FFFFFF"/>
        </w:rPr>
        <w:t>1、</w:t>
      </w:r>
      <w:r>
        <w:rPr>
          <w:rFonts w:hint="eastAsia" w:ascii="仿宋_GB2312" w:hAnsi="宋体" w:eastAsia="仿宋_GB2312" w:cs="宋体"/>
          <w:b/>
          <w:bCs/>
          <w:color w:val="auto"/>
          <w:shd w:val="clear" w:color="auto" w:fill="FFFFFF"/>
          <w:lang w:eastAsia="zh-CN"/>
        </w:rPr>
        <w:t>运营光塔街综合养老服务中心（颐康中心）</w:t>
      </w:r>
      <w:r>
        <w:rPr>
          <w:rFonts w:hint="eastAsia" w:ascii="仿宋_GB2312" w:hAnsi="宋体" w:eastAsia="仿宋_GB2312" w:cs="宋体"/>
          <w:b/>
          <w:bCs/>
          <w:color w:val="auto"/>
          <w:shd w:val="clear" w:color="auto" w:fill="FFFFFF"/>
        </w:rPr>
        <w:t>。</w:t>
      </w:r>
    </w:p>
    <w:p>
      <w:pPr>
        <w:pStyle w:val="5"/>
        <w:widowControl/>
        <w:spacing w:beforeAutospacing="0" w:afterAutospacing="0" w:line="500" w:lineRule="exact"/>
        <w:ind w:firstLine="480" w:firstLineChars="200"/>
        <w:rPr>
          <w:rFonts w:hint="eastAsia" w:ascii="仿宋_GB2312" w:hAnsi="宋体" w:eastAsia="仿宋_GB2312" w:cs="宋体"/>
          <w:color w:val="auto"/>
          <w:shd w:val="clear" w:color="auto" w:fill="FFFFFF"/>
          <w:lang w:eastAsia="zh-CN"/>
        </w:rPr>
      </w:pPr>
      <w:r>
        <w:rPr>
          <w:rFonts w:hint="eastAsia" w:ascii="仿宋_GB2312" w:hAnsi="宋体" w:eastAsia="仿宋_GB2312" w:cs="宋体"/>
          <w:color w:val="auto"/>
          <w:shd w:val="clear" w:color="auto" w:fill="FFFFFF"/>
        </w:rPr>
        <w:t>由</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运营光塔街</w:t>
      </w:r>
      <w:r>
        <w:rPr>
          <w:rFonts w:hint="eastAsia" w:ascii="仿宋_GB2312" w:hAnsi="宋体" w:eastAsia="仿宋_GB2312" w:cs="宋体"/>
          <w:color w:val="auto"/>
          <w:shd w:val="clear" w:color="auto" w:fill="FFFFFF"/>
          <w:lang w:eastAsia="zh-CN"/>
        </w:rPr>
        <w:t>综合养老服务中心（颐康中心）</w:t>
      </w:r>
      <w:r>
        <w:rPr>
          <w:rFonts w:hint="eastAsia" w:ascii="仿宋_GB2312" w:hAnsi="宋体" w:eastAsia="仿宋_GB2312" w:cs="宋体"/>
          <w:color w:val="auto"/>
          <w:shd w:val="clear" w:color="auto" w:fill="FFFFFF"/>
        </w:rPr>
        <w:t>，包括</w:t>
      </w:r>
      <w:r>
        <w:rPr>
          <w:rFonts w:hint="eastAsia" w:ascii="仿宋_GB2312" w:hAnsi="宋体" w:eastAsia="仿宋_GB2312" w:cs="宋体"/>
          <w:color w:val="auto"/>
          <w:shd w:val="clear" w:color="auto" w:fill="FFFFFF"/>
          <w:lang w:eastAsia="zh-CN"/>
        </w:rPr>
        <w:t>长者饭堂、社区颐康服务站等社区养老服务设施。为本辖区户籍及常住老年人提供养老服务向导、助餐配餐、生活照料、定期巡访、辅具租赁、平安通、家庭照护培训、文体教育、居家适老化改造、家庭养老床位、日间托管、临时托养、医养康养、康复护理等基本养老服务的功能，重点为有需求的失能、失智老年人提供服务。服务项目可根据本市基本养老服务清单进行动态调整。</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
          <w:bCs/>
          <w:color w:val="auto"/>
          <w:shd w:val="clear" w:color="auto" w:fill="FFFFFF"/>
        </w:rPr>
        <w:t>2、开展精神慰藉服务。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为有需要的服务对象提供精神慰藉，包括精神支持、情感交流、关怀访视、不良情绪干预等服务，服务形式包括陪同聊天、陪同散步等。其中探访、电话访视服务对象不少于1次/周，谈话时间不少于15min/次。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
          <w:bCs/>
          <w:color w:val="auto"/>
          <w:shd w:val="clear" w:color="auto" w:fill="FFFFFF"/>
        </w:rPr>
        <w:t>3、开展文化娱乐服务。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娱乐活动包括室内和室外的休闲文体活动，文化活动包括老年教育、学堂讲座。工作日场所开放不少于6小时，文化康乐活动不少于5项。</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
          <w:bCs/>
          <w:color w:val="auto"/>
          <w:shd w:val="clear" w:color="auto" w:fill="FFFFFF"/>
        </w:rPr>
        <w:t>4、医疗保健、康复护理管理。</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紧密联系社区卫生医院、工疗康复站、医养结合试点和护理站开展医疗保健、康复护理服务，建立服务对象健康档案，做好服务记录，管理陪伴就医及上门医疗服务。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b/>
          <w:bCs/>
          <w:color w:val="auto"/>
          <w:shd w:val="clear" w:color="auto" w:fill="FFFFFF"/>
        </w:rPr>
        <w:t>5、提供家政及生活照料类服务。</w:t>
      </w:r>
    </w:p>
    <w:p>
      <w:pPr>
        <w:pStyle w:val="5"/>
        <w:widowControl/>
        <w:spacing w:beforeAutospacing="0" w:afterAutospacing="0" w:line="500" w:lineRule="exact"/>
        <w:ind w:firstLine="540" w:firstLineChars="225"/>
        <w:rPr>
          <w:rFonts w:ascii="仿宋_GB2312" w:eastAsia="仿宋_GB2312"/>
          <w:color w:val="auto"/>
        </w:rPr>
      </w:pPr>
      <w:r>
        <w:rPr>
          <w:rFonts w:hint="eastAsia" w:ascii="仿宋_GB2312" w:hAnsi="宋体" w:eastAsia="仿宋_GB2312" w:cs="宋体"/>
          <w:color w:val="auto"/>
          <w:shd w:val="clear" w:color="auto" w:fill="FFFFFF"/>
        </w:rPr>
        <w:t>将生活照料列入基本服务项目，通过自主供给、转介服务等多种形式，提供专业化家政及生活照料服务，针对居家老年人开展上门助洁、助浴、洗涤、生活护理、协助进餐、陪伴就医、代办服务等全方位生活照料服务，拓展符合居家老年人群实际需求的服务项目，针对失能、失智、高龄等特殊老年人群推出“私人定制”的照顾服务套餐，为居家老年人提供精准化、个性化、专业化的“家政+养老”服务。</w:t>
      </w:r>
    </w:p>
    <w:p>
      <w:pPr>
        <w:pStyle w:val="5"/>
        <w:widowControl/>
        <w:spacing w:beforeAutospacing="0" w:afterAutospacing="0" w:line="500" w:lineRule="exact"/>
        <w:ind w:firstLine="540" w:firstLineChars="224"/>
        <w:rPr>
          <w:rFonts w:ascii="仿宋_GB2312" w:eastAsia="仿宋_GB2312"/>
          <w:color w:val="auto"/>
        </w:rPr>
      </w:pPr>
      <w:r>
        <w:rPr>
          <w:rFonts w:hint="eastAsia" w:ascii="仿宋_GB2312" w:hAnsi="宋体" w:eastAsia="仿宋_GB2312" w:cs="宋体"/>
          <w:b/>
          <w:bCs/>
          <w:color w:val="auto"/>
          <w:shd w:val="clear" w:color="auto" w:fill="FFFFFF"/>
        </w:rPr>
        <w:t>6、开展助餐配餐服务。</w:t>
      </w:r>
    </w:p>
    <w:p>
      <w:pPr>
        <w:pStyle w:val="5"/>
        <w:widowControl/>
        <w:spacing w:beforeAutospacing="0" w:afterAutospacing="0" w:line="500" w:lineRule="exact"/>
        <w:ind w:firstLine="540" w:firstLineChars="225"/>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根据《广州市民政局关于印发优化城乡养老助餐配餐服务网络提升助餐配餐服务水平工作方案的通知》（穗民〔2018〕104号）、《广州市居家养老服务指导中心关于做好长者饭堂刷卡就餐工作有关事项的通知》（穗居家指导办〔2019〕1号）、《广州市民政局广州市</w:t>
      </w:r>
      <w:r>
        <w:rPr>
          <w:rFonts w:hint="eastAsia" w:ascii="仿宋_GB2312" w:hAnsi="宋体" w:eastAsia="仿宋_GB2312" w:cs="宋体"/>
          <w:color w:val="auto"/>
          <w:shd w:val="clear" w:color="auto" w:fill="FFFFFF"/>
          <w:lang w:eastAsia="zh-CN"/>
        </w:rPr>
        <w:t>财政局广州市市场监督管理局</w:t>
      </w:r>
      <w:r>
        <w:rPr>
          <w:rFonts w:hint="eastAsia" w:ascii="仿宋_GB2312" w:hAnsi="宋体" w:eastAsia="仿宋_GB2312" w:cs="宋体"/>
          <w:color w:val="auto"/>
          <w:shd w:val="clear" w:color="auto" w:fill="FFFFFF"/>
        </w:rPr>
        <w:t>关于印发广州市老年人助餐配餐服务</w:t>
      </w:r>
      <w:r>
        <w:rPr>
          <w:rFonts w:hint="eastAsia" w:ascii="仿宋_GB2312" w:hAnsi="宋体" w:eastAsia="仿宋_GB2312" w:cs="宋体"/>
          <w:color w:val="auto"/>
          <w:shd w:val="clear" w:color="auto" w:fill="FFFFFF"/>
          <w:lang w:eastAsia="zh-CN"/>
        </w:rPr>
        <w:t>管理办法</w:t>
      </w:r>
      <w:r>
        <w:rPr>
          <w:rFonts w:hint="eastAsia" w:ascii="仿宋_GB2312" w:hAnsi="宋体" w:eastAsia="仿宋_GB2312" w:cs="宋体"/>
          <w:color w:val="auto"/>
          <w:shd w:val="clear" w:color="auto" w:fill="FFFFFF"/>
        </w:rPr>
        <w:t>的通知》（穗民</w:t>
      </w:r>
      <w:r>
        <w:rPr>
          <w:rFonts w:hint="eastAsia" w:ascii="仿宋_GB2312" w:hAnsi="宋体" w:eastAsia="仿宋_GB2312" w:cs="宋体"/>
          <w:color w:val="auto"/>
          <w:shd w:val="clear" w:color="auto" w:fill="FFFFFF"/>
          <w:lang w:eastAsia="zh-CN"/>
        </w:rPr>
        <w:t>规字</w:t>
      </w:r>
      <w:r>
        <w:rPr>
          <w:rFonts w:hint="eastAsia" w:ascii="仿宋_GB2312" w:hAnsi="宋体" w:eastAsia="仿宋_GB2312" w:cs="宋体"/>
          <w:color w:val="auto"/>
          <w:shd w:val="clear" w:color="auto" w:fill="FFFFFF"/>
        </w:rPr>
        <w:t>〔20</w:t>
      </w:r>
      <w:r>
        <w:rPr>
          <w:rFonts w:hint="eastAsia" w:ascii="仿宋_GB2312" w:hAnsi="宋体" w:eastAsia="仿宋_GB2312" w:cs="宋体"/>
          <w:color w:val="auto"/>
          <w:shd w:val="clear" w:color="auto" w:fill="FFFFFF"/>
          <w:lang w:val="en-US" w:eastAsia="zh-CN"/>
        </w:rPr>
        <w:t>20</w:t>
      </w:r>
      <w:r>
        <w:rPr>
          <w:rFonts w:hint="eastAsia" w:ascii="仿宋_GB2312" w:hAnsi="宋体" w:eastAsia="仿宋_GB2312" w:cs="宋体"/>
          <w:color w:val="auto"/>
          <w:shd w:val="clear" w:color="auto" w:fill="FFFFFF"/>
        </w:rPr>
        <w:t>〕</w:t>
      </w:r>
      <w:r>
        <w:rPr>
          <w:rFonts w:hint="eastAsia" w:ascii="仿宋_GB2312" w:hAnsi="宋体" w:eastAsia="仿宋_GB2312" w:cs="宋体"/>
          <w:color w:val="auto"/>
          <w:shd w:val="clear" w:color="auto" w:fill="FFFFFF"/>
          <w:lang w:val="en-US" w:eastAsia="zh-CN"/>
        </w:rPr>
        <w:t>15</w:t>
      </w:r>
      <w:r>
        <w:rPr>
          <w:rFonts w:hint="eastAsia" w:ascii="仿宋_GB2312" w:hAnsi="宋体" w:eastAsia="仿宋_GB2312" w:cs="宋体"/>
          <w:color w:val="auto"/>
          <w:shd w:val="clear" w:color="auto" w:fill="FFFFFF"/>
        </w:rPr>
        <w:t>号）</w:t>
      </w:r>
      <w:r>
        <w:rPr>
          <w:rFonts w:hint="eastAsia" w:ascii="仿宋_GB2312" w:hAnsi="宋体" w:eastAsia="仿宋_GB2312" w:cs="宋体"/>
          <w:color w:val="auto"/>
          <w:shd w:val="clear" w:color="auto" w:fill="FFFFFF"/>
          <w:lang w:eastAsia="zh-CN"/>
        </w:rPr>
        <w:t>等</w:t>
      </w:r>
      <w:r>
        <w:rPr>
          <w:rFonts w:hint="eastAsia" w:ascii="仿宋_GB2312" w:hAnsi="宋体" w:eastAsia="仿宋_GB2312" w:cs="宋体"/>
          <w:color w:val="auto"/>
          <w:shd w:val="clear" w:color="auto" w:fill="FFFFFF"/>
        </w:rPr>
        <w:t>文件要求以及结合街道实际情况开展助餐配餐服务，提供集中用餐和上门送餐服务，机构负责配餐点运营及管理。</w:t>
      </w:r>
      <w:r>
        <w:rPr>
          <w:rFonts w:hint="eastAsia" w:ascii="仿宋_GB2312" w:hAnsi="宋体" w:eastAsia="仿宋_GB2312" w:cs="宋体"/>
          <w:color w:val="auto"/>
          <w:shd w:val="clear" w:color="auto" w:fill="FFFFFF"/>
          <w:lang w:eastAsia="zh-CN"/>
        </w:rPr>
        <w:t>要求</w:t>
      </w:r>
      <w:r>
        <w:rPr>
          <w:rFonts w:hint="eastAsia" w:ascii="仿宋_GB2312" w:hAnsi="宋体" w:eastAsia="仿宋_GB2312" w:cs="宋体"/>
          <w:color w:val="auto"/>
          <w:shd w:val="clear" w:color="auto" w:fill="FFFFFF"/>
        </w:rPr>
        <w:t>广泛宣传光塔街道助餐配餐服务，知晓率达到95%以上。建立日常台账，接受街道每</w:t>
      </w:r>
      <w:r>
        <w:rPr>
          <w:rFonts w:hint="eastAsia" w:ascii="仿宋_GB2312" w:hAnsi="宋体" w:eastAsia="仿宋_GB2312" w:cs="宋体"/>
          <w:color w:val="auto"/>
          <w:shd w:val="clear" w:color="auto" w:fill="FFFFFF"/>
          <w:lang w:eastAsia="zh-CN"/>
        </w:rPr>
        <w:t>月</w:t>
      </w:r>
      <w:r>
        <w:rPr>
          <w:rFonts w:hint="eastAsia" w:ascii="仿宋_GB2312" w:hAnsi="宋体" w:eastAsia="仿宋_GB2312" w:cs="宋体"/>
          <w:color w:val="auto"/>
          <w:shd w:val="clear" w:color="auto" w:fill="FFFFFF"/>
        </w:rPr>
        <w:t>的抽查。如在助餐配餐过程中出现服务质量问题致使被居民</w:t>
      </w:r>
      <w:r>
        <w:rPr>
          <w:rFonts w:hint="eastAsia" w:ascii="仿宋_GB2312" w:hAnsi="宋体" w:eastAsia="仿宋_GB2312" w:cs="宋体"/>
          <w:color w:val="auto"/>
          <w:shd w:val="clear" w:color="auto" w:fill="FFFFFF"/>
          <w:lang w:eastAsia="zh-CN"/>
        </w:rPr>
        <w:t>有效</w:t>
      </w:r>
      <w:r>
        <w:rPr>
          <w:rFonts w:hint="eastAsia" w:ascii="仿宋_GB2312" w:hAnsi="宋体" w:eastAsia="仿宋_GB2312" w:cs="宋体"/>
          <w:color w:val="auto"/>
          <w:shd w:val="clear" w:color="auto" w:fill="FFFFFF"/>
        </w:rPr>
        <w:t>投诉，投诉意见将纳入考核范围。</w:t>
      </w:r>
    </w:p>
    <w:p>
      <w:pPr>
        <w:pStyle w:val="5"/>
        <w:widowControl/>
        <w:spacing w:beforeAutospacing="0" w:afterAutospacing="0" w:line="500" w:lineRule="exact"/>
        <w:ind w:firstLine="482" w:firstLineChars="200"/>
        <w:rPr>
          <w:rFonts w:ascii="仿宋_GB2312" w:eastAsia="仿宋_GB2312"/>
          <w:color w:val="auto"/>
        </w:rPr>
      </w:pPr>
      <w:r>
        <w:rPr>
          <w:rFonts w:hint="eastAsia" w:ascii="仿宋_GB2312" w:hAnsi="宋体" w:eastAsia="仿宋_GB2312" w:cs="宋体"/>
          <w:b/>
          <w:bCs/>
          <w:color w:val="auto"/>
          <w:shd w:val="clear" w:color="auto" w:fill="FFFFFF"/>
        </w:rPr>
        <w:t>7、开展安全援助</w:t>
      </w:r>
      <w:r>
        <w:rPr>
          <w:rFonts w:hint="eastAsia" w:ascii="仿宋_GB2312" w:hAnsi="宋体" w:eastAsia="仿宋_GB2312" w:cs="宋体"/>
          <w:b/>
          <w:bCs/>
          <w:color w:val="auto"/>
          <w:shd w:val="clear" w:color="auto" w:fill="FFFFFF"/>
          <w:lang w:eastAsia="zh-CN"/>
        </w:rPr>
        <w:t>及家居改造</w:t>
      </w:r>
      <w:r>
        <w:rPr>
          <w:rFonts w:hint="eastAsia" w:ascii="仿宋_GB2312" w:hAnsi="宋体" w:eastAsia="仿宋_GB2312" w:cs="宋体"/>
          <w:b/>
          <w:bCs/>
          <w:color w:val="auto"/>
          <w:shd w:val="clear" w:color="auto" w:fill="FFFFFF"/>
        </w:rPr>
        <w:t>服务。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开展街道安全援助工作，定期开展居家安全排查服务，其中辖内“平安通”服务80岁及以上办理率达到30%以上。包括“平安通”服务协助办理、紧急呼援、定期电话和上门访视、适老化家居改造、改善老年人居家安全环境,为长者提供社区居家安全危机排查和健康危机排查工作。</w:t>
      </w:r>
    </w:p>
    <w:p>
      <w:pPr>
        <w:pStyle w:val="5"/>
        <w:widowControl/>
        <w:numPr>
          <w:ilvl w:val="0"/>
          <w:numId w:val="1"/>
        </w:numPr>
        <w:spacing w:beforeAutospacing="0" w:afterAutospacing="0" w:line="500" w:lineRule="exact"/>
        <w:ind w:left="535" w:leftChars="255"/>
        <w:rPr>
          <w:rFonts w:hint="eastAsia" w:ascii="仿宋_GB2312" w:hAnsi="宋体" w:eastAsia="仿宋_GB2312" w:cs="宋体"/>
          <w:color w:val="auto"/>
          <w:shd w:val="clear" w:color="auto" w:fill="FFFFFF"/>
        </w:rPr>
      </w:pPr>
      <w:r>
        <w:rPr>
          <w:rFonts w:hint="eastAsia" w:ascii="仿宋_GB2312" w:hAnsi="宋体" w:eastAsia="仿宋_GB2312" w:cs="宋体"/>
          <w:b/>
          <w:bCs/>
          <w:color w:val="auto"/>
          <w:shd w:val="clear" w:color="auto" w:fill="FFFFFF"/>
        </w:rPr>
        <w:t>开展日间托老及应急避护</w:t>
      </w:r>
      <w:r>
        <w:rPr>
          <w:rFonts w:hint="eastAsia" w:ascii="仿宋_GB2312" w:hAnsi="宋体" w:eastAsia="仿宋_GB2312" w:cs="宋体"/>
          <w:b/>
          <w:bCs/>
          <w:color w:val="auto"/>
          <w:shd w:val="clear" w:color="auto" w:fill="FFFFFF"/>
          <w:lang w:eastAsia="zh-CN"/>
        </w:rPr>
        <w:t>（紧急援助）</w:t>
      </w:r>
      <w:r>
        <w:rPr>
          <w:rFonts w:hint="eastAsia" w:ascii="仿宋_GB2312" w:hAnsi="宋体" w:eastAsia="仿宋_GB2312" w:cs="宋体"/>
          <w:b/>
          <w:bCs/>
          <w:color w:val="auto"/>
          <w:shd w:val="clear" w:color="auto" w:fill="FFFFFF"/>
        </w:rPr>
        <w:t xml:space="preserve">服务。                                   </w:t>
      </w:r>
      <w:r>
        <w:rPr>
          <w:rFonts w:hint="eastAsia" w:ascii="仿宋_GB2312" w:hAnsi="宋体" w:eastAsia="仿宋_GB2312" w:cs="宋体"/>
          <w:color w:val="auto"/>
          <w:shd w:val="clear" w:color="auto" w:fill="FFFFFF"/>
        </w:rPr>
        <w:t>服务阵地在光塔街</w:t>
      </w:r>
      <w:r>
        <w:rPr>
          <w:rFonts w:hint="eastAsia" w:ascii="仿宋_GB2312" w:hAnsi="宋体" w:eastAsia="仿宋_GB2312" w:cs="宋体"/>
          <w:color w:val="auto"/>
          <w:shd w:val="clear" w:color="auto" w:fill="FFFFFF"/>
          <w:lang w:eastAsia="zh-CN"/>
        </w:rPr>
        <w:t>综合养老服务中心（颐康中心）</w:t>
      </w:r>
      <w:r>
        <w:rPr>
          <w:rFonts w:hint="eastAsia" w:ascii="仿宋_GB2312" w:hAnsi="宋体" w:eastAsia="仿宋_GB2312" w:cs="宋体"/>
          <w:color w:val="auto"/>
          <w:shd w:val="clear" w:color="auto" w:fill="FFFFFF"/>
        </w:rPr>
        <w:t>，</w:t>
      </w:r>
      <w:r>
        <w:rPr>
          <w:rFonts w:hint="eastAsia" w:ascii="仿宋_GB2312" w:hAnsi="宋体" w:eastAsia="仿宋_GB2312" w:cs="宋体"/>
          <w:color w:val="auto"/>
          <w:shd w:val="clear" w:color="auto" w:fill="FFFFFF"/>
          <w:lang w:eastAsia="zh-CN"/>
        </w:rPr>
        <w:t>颐康</w:t>
      </w:r>
      <w:r>
        <w:rPr>
          <w:rFonts w:hint="eastAsia" w:ascii="仿宋_GB2312" w:hAnsi="宋体" w:eastAsia="仿宋_GB2312" w:cs="宋体"/>
          <w:color w:val="auto"/>
          <w:shd w:val="clear" w:color="auto" w:fill="FFFFFF"/>
        </w:rPr>
        <w:t>中心同时有应急</w:t>
      </w:r>
    </w:p>
    <w:p>
      <w:pPr>
        <w:pStyle w:val="5"/>
        <w:widowControl/>
        <w:numPr>
          <w:ilvl w:val="0"/>
          <w:numId w:val="0"/>
        </w:numPr>
        <w:spacing w:beforeAutospacing="0" w:afterAutospacing="0" w:line="500" w:lineRule="exact"/>
        <w:rPr>
          <w:rFonts w:ascii="仿宋_GB2312" w:eastAsia="仿宋_GB2312"/>
          <w:color w:val="auto"/>
        </w:rPr>
      </w:pPr>
      <w:r>
        <w:rPr>
          <w:rFonts w:hint="eastAsia" w:ascii="仿宋_GB2312" w:hAnsi="宋体" w:eastAsia="仿宋_GB2312" w:cs="宋体"/>
          <w:color w:val="auto"/>
          <w:shd w:val="clear" w:color="auto" w:fill="FFFFFF"/>
        </w:rPr>
        <w:t>避护功能。</w:t>
      </w:r>
      <w:r>
        <w:rPr>
          <w:rFonts w:hint="eastAsia" w:ascii="仿宋_GB2312" w:hAnsi="宋体" w:eastAsia="仿宋_GB2312" w:cs="宋体"/>
          <w:color w:val="auto"/>
          <w:shd w:val="clear" w:color="auto" w:fill="FFFFFF"/>
          <w:lang w:eastAsia="zh-CN"/>
        </w:rPr>
        <w:t>为</w:t>
      </w:r>
      <w:r>
        <w:rPr>
          <w:rFonts w:hint="eastAsia" w:ascii="仿宋_GB2312" w:hAnsi="宋体" w:eastAsia="仿宋_GB2312" w:cs="宋体"/>
          <w:color w:val="auto"/>
          <w:shd w:val="clear" w:color="auto" w:fill="FFFFFF"/>
        </w:rPr>
        <w:t>辖区内符合托老条件的老人提供膳食供应、个人照顾、保健康复、文化娱乐、精神慰藉、照顾服务需求调查等服务（每天开放时间不少于8小时），并建立服务档案，在极端天气为有需要的群众提供应急避护服务，服务机构负责日托室的运营及管理，探索富有特色且有效的运营模式，其中长者活动不少于</w:t>
      </w:r>
      <w:r>
        <w:rPr>
          <w:rFonts w:hint="eastAsia" w:ascii="仿宋_GB2312" w:hAnsi="宋体" w:eastAsia="仿宋_GB2312" w:cs="宋体"/>
          <w:color w:val="auto"/>
          <w:shd w:val="clear" w:color="auto" w:fill="FFFFFF"/>
          <w:lang w:val="en-US" w:eastAsia="zh-CN"/>
        </w:rPr>
        <w:t>1</w:t>
      </w:r>
      <w:r>
        <w:rPr>
          <w:rFonts w:hint="eastAsia" w:ascii="仿宋_GB2312" w:hAnsi="宋体" w:eastAsia="仿宋_GB2312" w:cs="宋体"/>
          <w:color w:val="auto"/>
          <w:shd w:val="clear" w:color="auto" w:fill="FFFFFF"/>
        </w:rPr>
        <w:t>次/</w:t>
      </w:r>
      <w:r>
        <w:rPr>
          <w:rFonts w:hint="eastAsia" w:ascii="仿宋_GB2312" w:hAnsi="宋体" w:eastAsia="仿宋_GB2312" w:cs="宋体"/>
          <w:color w:val="auto"/>
          <w:shd w:val="clear" w:color="auto" w:fill="FFFFFF"/>
          <w:lang w:eastAsia="zh-CN"/>
        </w:rPr>
        <w:t>月</w:t>
      </w:r>
      <w:r>
        <w:rPr>
          <w:rFonts w:hint="eastAsia" w:ascii="仿宋_GB2312" w:hAnsi="宋体" w:eastAsia="仿宋_GB2312" w:cs="宋体"/>
          <w:color w:val="auto"/>
          <w:shd w:val="clear" w:color="auto" w:fill="FFFFFF"/>
        </w:rPr>
        <w:t>、需求调查不少于</w:t>
      </w:r>
      <w:r>
        <w:rPr>
          <w:rFonts w:hint="eastAsia" w:ascii="仿宋_GB2312" w:hAnsi="宋体" w:eastAsia="仿宋_GB2312" w:cs="宋体"/>
          <w:color w:val="auto"/>
          <w:shd w:val="clear" w:color="auto" w:fill="FFFFFF"/>
          <w:lang w:val="en-US" w:eastAsia="zh-CN"/>
        </w:rPr>
        <w:t>1</w:t>
      </w:r>
      <w:r>
        <w:rPr>
          <w:rFonts w:hint="eastAsia" w:ascii="仿宋_GB2312" w:hAnsi="宋体" w:eastAsia="仿宋_GB2312" w:cs="宋体"/>
          <w:color w:val="auto"/>
          <w:shd w:val="clear" w:color="auto" w:fill="FFFFFF"/>
        </w:rPr>
        <w:t>次/</w:t>
      </w:r>
      <w:r>
        <w:rPr>
          <w:rFonts w:hint="eastAsia" w:ascii="仿宋_GB2312" w:hAnsi="宋体" w:eastAsia="仿宋_GB2312" w:cs="宋体"/>
          <w:color w:val="auto"/>
          <w:shd w:val="clear" w:color="auto" w:fill="FFFFFF"/>
          <w:lang w:eastAsia="zh-CN"/>
        </w:rPr>
        <w:t>合同期</w:t>
      </w:r>
      <w:r>
        <w:rPr>
          <w:rFonts w:hint="eastAsia" w:ascii="仿宋_GB2312" w:hAnsi="宋体" w:eastAsia="仿宋_GB2312" w:cs="宋体"/>
          <w:color w:val="auto"/>
          <w:shd w:val="clear" w:color="auto" w:fill="FFFFFF"/>
        </w:rPr>
        <w:t>，参照《广州市应急避护场所管理手册》管理应急避护场所，广州市气象部门公布极端天气需要24小时开放，并安排值守人员。</w:t>
      </w:r>
    </w:p>
    <w:p>
      <w:pPr>
        <w:pStyle w:val="5"/>
        <w:widowControl/>
        <w:spacing w:beforeAutospacing="0" w:afterAutospacing="0" w:line="500" w:lineRule="exact"/>
        <w:ind w:firstLine="540" w:firstLineChars="224"/>
        <w:rPr>
          <w:rFonts w:ascii="仿宋_GB2312" w:eastAsia="仿宋_GB2312"/>
          <w:color w:val="auto"/>
        </w:rPr>
      </w:pPr>
      <w:r>
        <w:rPr>
          <w:rFonts w:hint="eastAsia" w:ascii="仿宋_GB2312" w:hAnsi="宋体" w:eastAsia="仿宋_GB2312" w:cs="宋体"/>
          <w:b/>
          <w:bCs/>
          <w:color w:val="auto"/>
          <w:shd w:val="clear" w:color="auto" w:fill="FFFFFF"/>
        </w:rPr>
        <w:t>9、辅具租赁服务。</w:t>
      </w:r>
    </w:p>
    <w:p>
      <w:pPr>
        <w:pStyle w:val="5"/>
        <w:widowControl/>
        <w:spacing w:beforeAutospacing="0" w:afterAutospacing="0" w:line="500" w:lineRule="exact"/>
        <w:ind w:firstLine="540" w:firstLineChars="225"/>
        <w:rPr>
          <w:rFonts w:ascii="仿宋_GB2312" w:eastAsia="仿宋_GB2312"/>
          <w:color w:val="auto"/>
        </w:rPr>
      </w:pPr>
      <w:r>
        <w:rPr>
          <w:rFonts w:hint="eastAsia" w:ascii="仿宋_GB2312" w:hAnsi="宋体" w:eastAsia="仿宋_GB2312" w:cs="宋体"/>
          <w:color w:val="auto"/>
          <w:shd w:val="clear" w:color="auto" w:fill="FFFFFF"/>
        </w:rPr>
        <w:t>街道</w:t>
      </w:r>
      <w:r>
        <w:rPr>
          <w:rFonts w:hint="eastAsia" w:ascii="仿宋_GB2312" w:hAnsi="宋体" w:eastAsia="仿宋_GB2312" w:cs="宋体"/>
          <w:color w:val="auto"/>
          <w:shd w:val="clear" w:color="auto" w:fill="FFFFFF"/>
          <w:lang w:eastAsia="zh-CN"/>
        </w:rPr>
        <w:t>综合养老服务中心（颐康中心）</w:t>
      </w:r>
      <w:r>
        <w:rPr>
          <w:rFonts w:hint="eastAsia" w:ascii="仿宋_GB2312" w:hAnsi="宋体" w:eastAsia="仿宋_GB2312" w:cs="宋体"/>
          <w:color w:val="auto"/>
          <w:shd w:val="clear" w:color="auto" w:fill="FFFFFF"/>
        </w:rPr>
        <w:t>开展推广老年用品服务，包括用品展示与咨询、租赁、回收及捐赠服务。租赁用品应符合相关产品质量标准，并定期回访，了解服务对象的使用情况。</w:t>
      </w:r>
    </w:p>
    <w:p>
      <w:pPr>
        <w:pStyle w:val="5"/>
        <w:widowControl/>
        <w:spacing w:beforeAutospacing="0" w:afterAutospacing="0" w:line="500" w:lineRule="exact"/>
        <w:ind w:firstLine="540" w:firstLineChars="224"/>
        <w:rPr>
          <w:rFonts w:ascii="仿宋_GB2312" w:eastAsia="仿宋_GB2312"/>
          <w:color w:val="auto"/>
        </w:rPr>
      </w:pPr>
      <w:r>
        <w:rPr>
          <w:rFonts w:hint="eastAsia" w:ascii="仿宋_GB2312" w:hAnsi="宋体" w:eastAsia="仿宋_GB2312" w:cs="宋体"/>
          <w:b/>
          <w:bCs/>
          <w:color w:val="auto"/>
          <w:shd w:val="clear" w:color="auto" w:fill="FFFFFF"/>
        </w:rPr>
        <w:t>10、转介服务。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ascii="仿宋_GB2312" w:eastAsia="仿宋_GB2312"/>
          <w:color w:val="auto"/>
        </w:rPr>
      </w:pPr>
      <w:r>
        <w:rPr>
          <w:rFonts w:hint="eastAsia" w:ascii="仿宋_GB2312" w:hAnsi="宋体" w:eastAsia="仿宋_GB2312" w:cs="宋体"/>
          <w:color w:val="auto"/>
          <w:shd w:val="clear" w:color="auto" w:fill="FFFFFF"/>
        </w:rPr>
        <w:t>转介服务包括转介医疗、护理、康复、法律援助、社工服务、义工服务、入住养老机构等服务，转介服务应满足以下要求：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（1）与周边社区养老服务机构建立服务转介机制；</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（2）转介的机构应能提供服务对象所需服务；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（3）应与服务对象或其家属/监护人协商一致后方可转介，转介过程中，原服务机构应负责该服务的跟踪；</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（4）承接服务的组织或机构应具有相关资质。</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b/>
          <w:bCs/>
          <w:color w:val="auto"/>
          <w:shd w:val="clear" w:color="auto" w:fill="FFFFFF"/>
        </w:rPr>
        <w:t>11、临时托养（喘息服务）。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临时托养服务应满足以下要求：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（1）临时托养服务应由有资质的养老服务机构提供；</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（2）配备有医疗、护理等专业人员，能提供医疗、护理等专业服务；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（3）原则上，临时托养一次最长不超过7天，且同一老人一年申请临时托养服务的次数不宜超过4次；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ascii="仿宋_GB2312" w:eastAsia="仿宋_GB2312"/>
          <w:color w:val="auto"/>
        </w:rPr>
      </w:pPr>
      <w:r>
        <w:rPr>
          <w:rFonts w:hint="eastAsia" w:ascii="仿宋_GB2312" w:hAnsi="宋体" w:eastAsia="仿宋_GB2312" w:cs="宋体"/>
          <w:color w:val="auto"/>
          <w:shd w:val="clear" w:color="auto" w:fill="FFFFFF"/>
        </w:rPr>
        <w:t xml:space="preserve">（4）宜与周边社区医疗机构建立联动机制，便于及时转介。    </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lang w:eastAsia="zh-CN"/>
        </w:rPr>
        <w:t>街道综合养老服务中心（颐康中心）设置</w:t>
      </w:r>
      <w:r>
        <w:rPr>
          <w:rFonts w:hint="eastAsia" w:ascii="仿宋_GB2312" w:hAnsi="宋体" w:eastAsia="仿宋_GB2312" w:cs="宋体"/>
          <w:color w:val="auto"/>
          <w:shd w:val="clear" w:color="auto" w:fill="FFFFFF"/>
          <w:lang w:val="en-US" w:eastAsia="zh-CN"/>
        </w:rPr>
        <w:t>10-200张</w:t>
      </w:r>
      <w:r>
        <w:rPr>
          <w:rFonts w:hint="eastAsia" w:ascii="仿宋_GB2312" w:hAnsi="宋体" w:eastAsia="仿宋_GB2312" w:cs="宋体"/>
          <w:color w:val="auto"/>
          <w:shd w:val="clear" w:color="auto" w:fill="FFFFFF"/>
          <w:lang w:eastAsia="zh-CN"/>
        </w:rPr>
        <w:t>养老床位，其中护理型床位占比不低于</w:t>
      </w:r>
      <w:r>
        <w:rPr>
          <w:rFonts w:hint="eastAsia" w:ascii="仿宋_GB2312" w:hAnsi="宋体" w:eastAsia="仿宋_GB2312" w:cs="宋体"/>
          <w:color w:val="auto"/>
          <w:shd w:val="clear" w:color="auto" w:fill="FFFFFF"/>
          <w:lang w:val="en-US" w:eastAsia="zh-CN"/>
        </w:rPr>
        <w:t>80%，日间照料床位占比不低于10%。</w:t>
      </w:r>
      <w:r>
        <w:rPr>
          <w:rFonts w:hint="eastAsia" w:ascii="仿宋_GB2312" w:hAnsi="宋体" w:eastAsia="仿宋_GB2312" w:cs="宋体"/>
          <w:color w:val="auto"/>
          <w:shd w:val="clear" w:color="auto" w:fill="FFFFFF"/>
        </w:rPr>
        <w:t>做好有需要居民喘息服务申请、资料审核、服务跟踪、满意度回访等工作，每季度应报送至少1次喘息服务报告。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4"/>
        <w:textAlignment w:val="auto"/>
        <w:rPr>
          <w:rFonts w:ascii="仿宋_GB2312" w:eastAsia="仿宋_GB2312"/>
          <w:color w:val="auto"/>
        </w:rPr>
      </w:pPr>
      <w:r>
        <w:rPr>
          <w:rFonts w:hint="eastAsia" w:ascii="仿宋_GB2312" w:hAnsi="宋体" w:eastAsia="仿宋_GB2312" w:cs="宋体"/>
          <w:b/>
          <w:bCs/>
          <w:color w:val="auto"/>
          <w:shd w:val="clear" w:color="auto" w:fill="FFFFFF"/>
        </w:rPr>
        <w:t>12、家庭服务。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ascii="仿宋_GB2312" w:eastAsia="仿宋_GB2312"/>
          <w:color w:val="auto"/>
        </w:rPr>
      </w:pPr>
      <w:r>
        <w:rPr>
          <w:rFonts w:hint="eastAsia" w:ascii="仿宋_GB2312" w:hAnsi="宋体" w:eastAsia="仿宋_GB2312" w:cs="宋体"/>
          <w:color w:val="auto"/>
          <w:shd w:val="clear" w:color="auto" w:fill="FFFFFF"/>
        </w:rPr>
        <w:t>拓展特色家庭服务，发挥社工的专业优势，促进长者家庭成员积极发挥家庭功能，提高社区长者居家养老的生活质量。</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4"/>
        <w:textAlignment w:val="auto"/>
        <w:rPr>
          <w:rFonts w:ascii="仿宋_GB2312" w:eastAsia="仿宋_GB2312"/>
          <w:color w:val="auto"/>
        </w:rPr>
      </w:pPr>
      <w:r>
        <w:rPr>
          <w:rFonts w:hint="eastAsia" w:ascii="仿宋_GB2312" w:hAnsi="宋体" w:eastAsia="仿宋_GB2312" w:cs="宋体"/>
          <w:b/>
          <w:bCs/>
          <w:color w:val="auto"/>
          <w:shd w:val="clear" w:color="auto" w:fill="FFFFFF"/>
        </w:rPr>
        <w:t>13、光塔街</w:t>
      </w:r>
      <w:r>
        <w:rPr>
          <w:rFonts w:hint="eastAsia" w:ascii="仿宋_GB2312" w:hAnsi="宋体" w:eastAsia="仿宋_GB2312" w:cs="宋体"/>
          <w:b/>
          <w:bCs/>
          <w:color w:val="auto"/>
          <w:shd w:val="clear" w:color="auto" w:fill="FFFFFF"/>
          <w:lang w:eastAsia="zh-CN"/>
        </w:rPr>
        <w:t>综合养老服务中心（颐康中心）服务</w:t>
      </w:r>
      <w:r>
        <w:rPr>
          <w:rFonts w:hint="eastAsia" w:ascii="仿宋_GB2312" w:hAnsi="宋体" w:eastAsia="仿宋_GB2312" w:cs="宋体"/>
          <w:b/>
          <w:bCs/>
          <w:color w:val="auto"/>
          <w:shd w:val="clear" w:color="auto" w:fill="FFFFFF"/>
        </w:rPr>
        <w:t>评估、审计材料管理。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color w:val="auto"/>
          <w:shd w:val="clear" w:color="auto" w:fill="FFFFFF"/>
        </w:rPr>
        <w:t>根据《广州市民政局关于开展2023年度居家社区养老服务评估工作的通知》及市、区审计局、民政局要求，建立完善所有居家养老服务评估、审计材料。每月</w:t>
      </w:r>
      <w:r>
        <w:rPr>
          <w:rFonts w:hint="eastAsia" w:ascii="仿宋_GB2312" w:hAnsi="宋体" w:eastAsia="仿宋_GB2312" w:cs="宋体"/>
          <w:color w:val="auto"/>
          <w:shd w:val="clear" w:color="auto" w:fill="FFFFFF"/>
          <w:lang w:eastAsia="zh-CN"/>
        </w:rPr>
        <w:t>提供</w:t>
      </w:r>
      <w:r>
        <w:rPr>
          <w:rFonts w:hint="eastAsia" w:ascii="仿宋_GB2312" w:hAnsi="宋体" w:eastAsia="仿宋_GB2312" w:cs="宋体"/>
          <w:color w:val="auto"/>
          <w:shd w:val="clear" w:color="auto" w:fill="FFFFFF"/>
        </w:rPr>
        <w:t>1次日常性评估材料，</w:t>
      </w:r>
      <w:r>
        <w:rPr>
          <w:rFonts w:hint="eastAsia" w:ascii="仿宋_GB2312" w:hAnsi="宋体" w:eastAsia="仿宋_GB2312" w:cs="宋体"/>
          <w:color w:val="auto"/>
          <w:shd w:val="clear" w:color="auto" w:fill="FFFFFF"/>
          <w:lang w:eastAsia="zh-CN"/>
        </w:rPr>
        <w:t>合同期满后</w:t>
      </w:r>
      <w:r>
        <w:rPr>
          <w:rFonts w:hint="eastAsia" w:ascii="仿宋_GB2312" w:hAnsi="宋体" w:eastAsia="仿宋_GB2312" w:cs="宋体"/>
          <w:color w:val="auto"/>
          <w:shd w:val="clear" w:color="auto" w:fill="FFFFFF"/>
        </w:rPr>
        <w:t>提交</w:t>
      </w:r>
      <w:r>
        <w:rPr>
          <w:rFonts w:hint="eastAsia" w:ascii="仿宋_GB2312" w:hAnsi="宋体" w:eastAsia="仿宋_GB2312" w:cs="宋体"/>
          <w:color w:val="auto"/>
          <w:shd w:val="clear" w:color="auto" w:fill="FFFFFF"/>
          <w:lang w:eastAsia="zh-CN"/>
        </w:rPr>
        <w:t>合同期服务自评报告，由街道或者第三方机构进行考核评估</w:t>
      </w:r>
      <w:r>
        <w:rPr>
          <w:rFonts w:hint="eastAsia" w:ascii="仿宋_GB2312" w:hAnsi="宋体" w:eastAsia="仿宋_GB2312" w:cs="宋体"/>
          <w:color w:val="auto"/>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4"/>
        <w:textAlignment w:val="auto"/>
        <w:rPr>
          <w:rFonts w:ascii="仿宋_GB2312" w:eastAsia="仿宋_GB2312"/>
          <w:color w:val="auto"/>
        </w:rPr>
      </w:pPr>
      <w:r>
        <w:rPr>
          <w:rFonts w:hint="eastAsia" w:ascii="仿宋_GB2312" w:hAnsi="宋体" w:eastAsia="仿宋_GB2312" w:cs="宋体"/>
          <w:b/>
          <w:bCs/>
          <w:color w:val="auto"/>
          <w:shd w:val="clear" w:color="auto" w:fill="FFFFFF"/>
        </w:rPr>
        <w:t>14、创建光塔街社区居家养老服务线上线下宣传平台。</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textAlignment w:val="auto"/>
        <w:rPr>
          <w:rFonts w:ascii="仿宋_GB2312" w:eastAsia="仿宋_GB2312"/>
          <w:color w:val="auto"/>
        </w:rPr>
      </w:pPr>
      <w:r>
        <w:rPr>
          <w:rFonts w:hint="eastAsia" w:ascii="仿宋_GB2312" w:hAnsi="宋体" w:eastAsia="仿宋_GB2312" w:cs="宋体"/>
          <w:color w:val="auto"/>
          <w:shd w:val="clear" w:color="auto" w:fill="FFFFFF"/>
        </w:rPr>
        <w:t>通过线上宣传和线下活动打造街道</w:t>
      </w:r>
      <w:r>
        <w:rPr>
          <w:rFonts w:hint="eastAsia" w:ascii="仿宋_GB2312" w:hAnsi="宋体" w:eastAsia="仿宋_GB2312" w:cs="宋体"/>
          <w:color w:val="auto"/>
          <w:shd w:val="clear" w:color="auto" w:fill="FFFFFF"/>
          <w:lang w:eastAsia="zh-CN"/>
        </w:rPr>
        <w:t>综合养老</w:t>
      </w:r>
      <w:r>
        <w:rPr>
          <w:rFonts w:hint="eastAsia" w:ascii="仿宋_GB2312" w:hAnsi="宋体" w:eastAsia="仿宋_GB2312" w:cs="宋体"/>
          <w:color w:val="auto"/>
          <w:shd w:val="clear" w:color="auto" w:fill="FFFFFF"/>
        </w:rPr>
        <w:t>服务</w:t>
      </w:r>
      <w:r>
        <w:rPr>
          <w:rFonts w:hint="eastAsia" w:ascii="仿宋_GB2312" w:hAnsi="宋体" w:eastAsia="仿宋_GB2312" w:cs="宋体"/>
          <w:color w:val="auto"/>
          <w:shd w:val="clear" w:color="auto" w:fill="FFFFFF"/>
          <w:lang w:eastAsia="zh-CN"/>
        </w:rPr>
        <w:t>（颐康中心）</w:t>
      </w:r>
      <w:r>
        <w:rPr>
          <w:rFonts w:hint="eastAsia" w:ascii="仿宋_GB2312" w:hAnsi="宋体" w:eastAsia="仿宋_GB2312" w:cs="宋体"/>
          <w:color w:val="auto"/>
          <w:shd w:val="clear" w:color="auto" w:fill="FFFFFF"/>
        </w:rPr>
        <w:t>口碑，提高社区居民对</w:t>
      </w:r>
      <w:r>
        <w:rPr>
          <w:rFonts w:hint="eastAsia" w:ascii="仿宋_GB2312" w:hAnsi="宋体" w:eastAsia="仿宋_GB2312" w:cs="宋体"/>
          <w:color w:val="auto"/>
          <w:shd w:val="clear" w:color="auto" w:fill="FFFFFF"/>
          <w:lang w:eastAsia="zh-CN"/>
        </w:rPr>
        <w:t>社区</w:t>
      </w:r>
      <w:r>
        <w:rPr>
          <w:rFonts w:hint="eastAsia" w:ascii="仿宋_GB2312" w:hAnsi="宋体" w:eastAsia="仿宋_GB2312" w:cs="宋体"/>
          <w:color w:val="auto"/>
          <w:shd w:val="clear" w:color="auto" w:fill="FFFFFF"/>
        </w:rPr>
        <w:t>居家养老服务的知晓率和参与的积极性，宣传内容不应有商业盈利性质。线上宣传，建立专属的自媒体平台（如微信公众号等），推送宣传居家养老服务、活动、政策、参观调研等，每周至少推送1篇相关文章，拓展至少一个第三方自媒体平台，提升项目信息的线上阅读量。线下宣传，包括制定居家养老服务宣传手册、服务体验、现场活动讲座、社区报等，每月至少组织1次宣传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eastAsia="仿宋_GB2312"/>
          <w:color w:val="auto"/>
        </w:rPr>
      </w:pPr>
      <w:r>
        <w:rPr>
          <w:rFonts w:hint="eastAsia" w:ascii="仿宋_GB2312" w:hAnsi="宋体" w:eastAsia="仿宋_GB2312" w:cs="宋体"/>
          <w:b/>
          <w:bCs/>
          <w:color w:val="auto"/>
          <w:shd w:val="clear" w:color="auto" w:fill="FFFFFF"/>
        </w:rPr>
        <w:t>★</w:t>
      </w:r>
      <w:r>
        <w:rPr>
          <w:rFonts w:hint="eastAsia" w:ascii="仿宋_GB2312" w:hAnsi="宋体" w:eastAsia="仿宋_GB2312" w:cs="宋体"/>
          <w:color w:val="auto"/>
          <w:shd w:val="clear" w:color="auto" w:fill="FFFFFF"/>
        </w:rPr>
        <w:t>注：本项目采购人只提供场地,</w:t>
      </w:r>
      <w:r>
        <w:rPr>
          <w:rFonts w:hint="eastAsia" w:ascii="仿宋_GB2312" w:hAnsi="宋体" w:eastAsia="仿宋_GB2312" w:cs="宋体"/>
          <w:color w:val="auto"/>
          <w:shd w:val="clear" w:color="auto" w:fill="FFFFFF"/>
          <w:lang w:eastAsia="zh-CN"/>
        </w:rPr>
        <w:t>成交机构必</w:t>
      </w:r>
      <w:r>
        <w:rPr>
          <w:rFonts w:hint="eastAsia" w:ascii="仿宋_GB2312" w:hAnsi="宋体" w:eastAsia="仿宋_GB2312" w:cs="宋体"/>
          <w:color w:val="auto"/>
          <w:shd w:val="clear" w:color="auto" w:fill="FFFFFF"/>
        </w:rPr>
        <w:t>须对所有</w:t>
      </w:r>
      <w:r>
        <w:rPr>
          <w:rFonts w:hint="eastAsia" w:ascii="仿宋_GB2312" w:hAnsi="宋体" w:eastAsia="仿宋_GB2312" w:cs="宋体"/>
          <w:color w:val="auto"/>
          <w:shd w:val="clear" w:color="auto" w:fill="FFFFFF"/>
          <w:lang w:eastAsia="zh-CN"/>
        </w:rPr>
        <w:t>服务</w:t>
      </w:r>
      <w:r>
        <w:rPr>
          <w:rFonts w:hint="eastAsia" w:ascii="仿宋_GB2312" w:hAnsi="宋体" w:eastAsia="仿宋_GB2312" w:cs="宋体"/>
          <w:color w:val="auto"/>
          <w:shd w:val="clear" w:color="auto" w:fill="FFFFFF"/>
        </w:rPr>
        <w:t>场地购买公众责任险；项目产生的费用，居家养老服务涉及所需的全部设备、设施均由成交供应商提供，采购人不再额外提供设备、设施及经费。（提供承诺函，格式自拟）</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72" w:firstLineChars="197"/>
        <w:textAlignment w:val="auto"/>
        <w:rPr>
          <w:rFonts w:ascii="楷体_GB2312" w:eastAsia="楷体_GB2312"/>
          <w:color w:val="auto"/>
        </w:rPr>
      </w:pPr>
      <w:r>
        <w:rPr>
          <w:rFonts w:hint="eastAsia" w:ascii="楷体_GB2312" w:hAnsi="宋体" w:eastAsia="楷体_GB2312" w:cs="宋体"/>
          <w:bCs/>
          <w:color w:val="auto"/>
          <w:shd w:val="clear" w:color="auto" w:fill="FFFFFF"/>
        </w:rPr>
        <w:t>（二）服务设施</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本项目属于服务类，运营光塔街</w:t>
      </w:r>
      <w:r>
        <w:rPr>
          <w:rFonts w:hint="eastAsia" w:ascii="仿宋_GB2312" w:hAnsi="宋体" w:eastAsia="仿宋_GB2312" w:cs="宋体"/>
          <w:color w:val="auto"/>
          <w:shd w:val="clear" w:color="auto" w:fill="FFFFFF"/>
          <w:lang w:eastAsia="zh-CN"/>
        </w:rPr>
        <w:t>综合养老服务中心（颐康中心）</w:t>
      </w:r>
      <w:r>
        <w:rPr>
          <w:rFonts w:hint="eastAsia" w:ascii="仿宋_GB2312" w:hAnsi="宋体" w:eastAsia="仿宋_GB2312" w:cs="宋体"/>
          <w:color w:val="auto"/>
          <w:shd w:val="clear" w:color="auto" w:fill="FFFFFF"/>
        </w:rPr>
        <w:t>等服务场地设施，充分发挥场地设备的功能作用，以服务点为依托，为老年人开展专业化服务。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hint="eastAsia" w:ascii="仿宋_GB2312" w:hAnsi="宋体" w:eastAsia="仿宋_GB2312" w:cs="宋体"/>
          <w:color w:val="auto"/>
          <w:shd w:val="clear" w:color="auto" w:fill="FFFFFF"/>
          <w:lang w:eastAsia="zh-CN"/>
        </w:rPr>
      </w:pPr>
    </w:p>
    <w:p>
      <w:pPr>
        <w:pStyle w:val="5"/>
        <w:widowControl/>
        <w:spacing w:beforeAutospacing="0" w:afterAutospacing="0" w:line="300" w:lineRule="exact"/>
        <w:ind w:firstLine="420"/>
        <w:jc w:val="center"/>
        <w:rPr>
          <w:rFonts w:ascii="宋体" w:hAnsi="宋体" w:eastAsia="宋体" w:cs="宋体"/>
          <w:b/>
          <w:bCs/>
          <w:color w:val="auto"/>
          <w:shd w:val="clear" w:color="auto" w:fill="FFFFFF"/>
        </w:rPr>
      </w:pPr>
      <w:r>
        <w:rPr>
          <w:rFonts w:hint="eastAsia" w:ascii="宋体" w:hAnsi="宋体" w:eastAsia="宋体" w:cs="宋体"/>
          <w:b/>
          <w:bCs/>
          <w:color w:val="auto"/>
          <w:shd w:val="clear" w:color="auto" w:fill="FFFFFF"/>
        </w:rPr>
        <w:t>表3：服务设施一览表</w:t>
      </w:r>
    </w:p>
    <w:tbl>
      <w:tblPr>
        <w:tblStyle w:val="6"/>
        <w:tblW w:w="870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5" w:type="dxa"/>
          <w:bottom w:w="0" w:type="dxa"/>
          <w:right w:w="105" w:type="dxa"/>
        </w:tblCellMar>
      </w:tblPr>
      <w:tblGrid>
        <w:gridCol w:w="851"/>
        <w:gridCol w:w="2950"/>
        <w:gridCol w:w="3146"/>
        <w:gridCol w:w="1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5" w:type="dxa"/>
            <w:bottom w:w="0" w:type="dxa"/>
            <w:right w:w="105" w:type="dxa"/>
          </w:tblCellMar>
        </w:tblPrEx>
        <w:tc>
          <w:tcPr>
            <w:tcW w:w="851"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bCs/>
                <w:color w:val="auto"/>
              </w:rPr>
              <w:t>序号</w:t>
            </w:r>
          </w:p>
        </w:tc>
        <w:tc>
          <w:tcPr>
            <w:tcW w:w="2950"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bCs/>
                <w:color w:val="auto"/>
              </w:rPr>
              <w:t>设施名称</w:t>
            </w:r>
          </w:p>
        </w:tc>
        <w:tc>
          <w:tcPr>
            <w:tcW w:w="3146"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bCs/>
                <w:color w:val="auto"/>
              </w:rPr>
              <w:t>设施地址（具体到楼层）</w:t>
            </w:r>
          </w:p>
        </w:tc>
        <w:tc>
          <w:tcPr>
            <w:tcW w:w="1758"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bCs/>
                <w:color w:val="auto"/>
              </w:rPr>
              <w:t>可使用面积（㎡）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5" w:type="dxa"/>
            <w:bottom w:w="0" w:type="dxa"/>
            <w:right w:w="105" w:type="dxa"/>
          </w:tblCellMar>
        </w:tblPrEx>
        <w:tc>
          <w:tcPr>
            <w:tcW w:w="851"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rPr>
              <w:t>1</w:t>
            </w:r>
          </w:p>
        </w:tc>
        <w:tc>
          <w:tcPr>
            <w:tcW w:w="2950"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default" w:ascii="仿宋_GB2312" w:eastAsia="仿宋_GB2312"/>
                <w:color w:val="auto"/>
                <w:lang w:val="en-US" w:eastAsia="zh-CN"/>
              </w:rPr>
            </w:pPr>
            <w:r>
              <w:rPr>
                <w:rFonts w:hint="eastAsia" w:ascii="仿宋_GB2312" w:eastAsia="仿宋_GB2312"/>
                <w:color w:val="auto"/>
              </w:rPr>
              <w:t>光塔街</w:t>
            </w:r>
            <w:r>
              <w:rPr>
                <w:rFonts w:hint="eastAsia" w:ascii="仿宋_GB2312" w:eastAsia="仿宋_GB2312"/>
                <w:color w:val="auto"/>
                <w:lang w:eastAsia="zh-CN"/>
              </w:rPr>
              <w:t>综合养老服务中心（颐康中心）</w:t>
            </w:r>
          </w:p>
        </w:tc>
        <w:tc>
          <w:tcPr>
            <w:tcW w:w="3146"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eastAsia" w:ascii="仿宋_GB2312" w:eastAsia="仿宋_GB2312"/>
                <w:color w:val="auto"/>
                <w:lang w:eastAsia="zh-CN"/>
              </w:rPr>
            </w:pPr>
            <w:r>
              <w:rPr>
                <w:rFonts w:hint="eastAsia" w:ascii="仿宋_GB2312" w:eastAsia="仿宋_GB2312"/>
                <w:color w:val="auto"/>
              </w:rPr>
              <w:t>光塔路</w:t>
            </w:r>
            <w:r>
              <w:rPr>
                <w:rFonts w:hint="eastAsia" w:ascii="仿宋_GB2312" w:eastAsia="仿宋_GB2312"/>
                <w:color w:val="auto"/>
                <w:lang w:val="en-US" w:eastAsia="zh-CN"/>
              </w:rPr>
              <w:t>65号三楼/光塔路</w:t>
            </w:r>
            <w:r>
              <w:rPr>
                <w:rFonts w:hint="eastAsia" w:ascii="仿宋_GB2312" w:eastAsia="仿宋_GB2312"/>
                <w:color w:val="auto"/>
              </w:rPr>
              <w:t>67号</w:t>
            </w:r>
          </w:p>
        </w:tc>
        <w:tc>
          <w:tcPr>
            <w:tcW w:w="1758"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jc w:val="both"/>
              <w:rPr>
                <w:rFonts w:hint="default" w:ascii="仿宋_GB2312" w:eastAsia="仿宋_GB2312"/>
                <w:color w:val="auto"/>
                <w:lang w:val="en-US" w:eastAsia="zh-CN"/>
              </w:rPr>
            </w:pPr>
            <w:r>
              <w:rPr>
                <w:rFonts w:hint="eastAsia" w:ascii="仿宋_GB2312" w:eastAsia="仿宋_GB2312"/>
                <w:color w:val="auto"/>
                <w:lang w:val="en-US" w:eastAsia="zh-CN"/>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5" w:type="dxa"/>
            <w:bottom w:w="0" w:type="dxa"/>
            <w:right w:w="105" w:type="dxa"/>
          </w:tblCellMar>
        </w:tblPrEx>
        <w:tc>
          <w:tcPr>
            <w:tcW w:w="851"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rPr>
              <w:t>2</w:t>
            </w:r>
          </w:p>
        </w:tc>
        <w:tc>
          <w:tcPr>
            <w:tcW w:w="2950"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eastAsia" w:ascii="仿宋_GB2312" w:eastAsia="仿宋_GB2312"/>
                <w:color w:val="auto"/>
                <w:lang w:eastAsia="zh-CN"/>
              </w:rPr>
            </w:pPr>
            <w:r>
              <w:rPr>
                <w:rFonts w:hint="eastAsia" w:ascii="仿宋_GB2312" w:eastAsia="仿宋_GB2312"/>
                <w:color w:val="auto"/>
              </w:rPr>
              <w:t>观绿社区长者饭堂</w:t>
            </w:r>
          </w:p>
        </w:tc>
        <w:tc>
          <w:tcPr>
            <w:tcW w:w="3146"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firstLineChars="0"/>
              <w:jc w:val="center"/>
              <w:rPr>
                <w:rFonts w:ascii="仿宋_GB2312" w:eastAsia="仿宋_GB2312"/>
                <w:color w:val="auto"/>
              </w:rPr>
            </w:pPr>
            <w:r>
              <w:rPr>
                <w:rFonts w:hint="eastAsia" w:ascii="仿宋_GB2312" w:eastAsia="仿宋_GB2312"/>
                <w:color w:val="auto"/>
              </w:rPr>
              <w:t>诗书路7号103</w:t>
            </w:r>
          </w:p>
        </w:tc>
        <w:tc>
          <w:tcPr>
            <w:tcW w:w="1758"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firstLineChars="0"/>
              <w:jc w:val="both"/>
              <w:rPr>
                <w:rFonts w:hint="default" w:ascii="仿宋_GB2312" w:eastAsia="仿宋_GB2312"/>
                <w:color w:val="auto"/>
                <w:lang w:val="en-US" w:eastAsia="zh-CN"/>
              </w:rPr>
            </w:pPr>
            <w:r>
              <w:rPr>
                <w:rFonts w:hint="eastAsia" w:ascii="仿宋_GB2312" w:eastAsia="仿宋_GB2312"/>
                <w:color w:val="auto"/>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5" w:type="dxa"/>
            <w:bottom w:w="0" w:type="dxa"/>
            <w:right w:w="105" w:type="dxa"/>
          </w:tblCellMar>
        </w:tblPrEx>
        <w:tc>
          <w:tcPr>
            <w:tcW w:w="851"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rPr>
              <w:t>3</w:t>
            </w:r>
          </w:p>
        </w:tc>
        <w:tc>
          <w:tcPr>
            <w:tcW w:w="2950"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lang w:eastAsia="zh-CN"/>
              </w:rPr>
              <w:t>杏花巷</w:t>
            </w:r>
            <w:r>
              <w:rPr>
                <w:rFonts w:hint="eastAsia" w:ascii="仿宋_GB2312" w:eastAsia="仿宋_GB2312"/>
                <w:color w:val="auto"/>
              </w:rPr>
              <w:t>社区长者饭堂</w:t>
            </w:r>
          </w:p>
        </w:tc>
        <w:tc>
          <w:tcPr>
            <w:tcW w:w="3146"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jc w:val="center"/>
              <w:rPr>
                <w:rFonts w:hint="default" w:ascii="仿宋_GB2312" w:eastAsia="仿宋_GB2312"/>
                <w:color w:val="auto"/>
                <w:lang w:val="en-US" w:eastAsia="zh-CN"/>
              </w:rPr>
            </w:pPr>
            <w:r>
              <w:rPr>
                <w:rFonts w:hint="eastAsia" w:ascii="仿宋_GB2312" w:eastAsia="仿宋_GB2312"/>
                <w:color w:val="auto"/>
                <w:lang w:eastAsia="zh-CN"/>
              </w:rPr>
              <w:t>光塔路</w:t>
            </w:r>
            <w:r>
              <w:rPr>
                <w:rFonts w:hint="eastAsia" w:ascii="仿宋_GB2312" w:eastAsia="仿宋_GB2312"/>
                <w:color w:val="auto"/>
                <w:lang w:val="en-US" w:eastAsia="zh-CN"/>
              </w:rPr>
              <w:t>67号首层</w:t>
            </w:r>
          </w:p>
        </w:tc>
        <w:tc>
          <w:tcPr>
            <w:tcW w:w="1758"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jc w:val="both"/>
              <w:rPr>
                <w:rFonts w:hint="default" w:ascii="仿宋_GB2312" w:eastAsia="仿宋_GB2312"/>
                <w:color w:val="auto"/>
                <w:lang w:val="en-US" w:eastAsia="zh-CN"/>
              </w:rPr>
            </w:pPr>
            <w:r>
              <w:rPr>
                <w:rFonts w:hint="eastAsia" w:ascii="仿宋_GB2312" w:eastAsia="仿宋_GB2312"/>
                <w:color w:val="auto"/>
                <w:lang w:val="en-US" w:eastAsia="zh-CN"/>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5" w:type="dxa"/>
            <w:bottom w:w="0" w:type="dxa"/>
            <w:right w:w="105" w:type="dxa"/>
          </w:tblCellMar>
        </w:tblPrEx>
        <w:tc>
          <w:tcPr>
            <w:tcW w:w="851"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eastAsia" w:ascii="仿宋_GB2312" w:eastAsia="仿宋_GB2312"/>
                <w:color w:val="auto"/>
                <w:lang w:val="en-US" w:eastAsia="zh-CN"/>
              </w:rPr>
            </w:pPr>
            <w:r>
              <w:rPr>
                <w:rFonts w:hint="eastAsia" w:ascii="仿宋_GB2312" w:eastAsia="仿宋_GB2312"/>
                <w:color w:val="auto"/>
                <w:lang w:val="en-US" w:eastAsia="zh-CN"/>
              </w:rPr>
              <w:t>4</w:t>
            </w:r>
          </w:p>
        </w:tc>
        <w:tc>
          <w:tcPr>
            <w:tcW w:w="2950" w:type="dxa"/>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eastAsia" w:ascii="仿宋_GB2312" w:eastAsia="仿宋_GB2312"/>
                <w:color w:val="auto"/>
                <w:lang w:eastAsia="zh-CN"/>
              </w:rPr>
            </w:pPr>
            <w:r>
              <w:rPr>
                <w:rFonts w:hint="eastAsia" w:ascii="仿宋_GB2312" w:eastAsia="仿宋_GB2312"/>
                <w:color w:val="auto"/>
                <w:lang w:eastAsia="zh-CN"/>
              </w:rPr>
              <w:t>陶家巷</w:t>
            </w:r>
            <w:r>
              <w:rPr>
                <w:rFonts w:hint="eastAsia" w:ascii="仿宋_GB2312" w:eastAsia="仿宋_GB2312"/>
                <w:color w:val="auto"/>
              </w:rPr>
              <w:t>社区长者饭堂</w:t>
            </w:r>
          </w:p>
        </w:tc>
        <w:tc>
          <w:tcPr>
            <w:tcW w:w="3146"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firstLineChars="0"/>
              <w:jc w:val="center"/>
              <w:rPr>
                <w:rFonts w:hint="default" w:ascii="仿宋_GB2312" w:eastAsia="仿宋_GB2312"/>
                <w:color w:val="auto"/>
                <w:lang w:val="en-US" w:eastAsia="zh-CN"/>
              </w:rPr>
            </w:pPr>
            <w:r>
              <w:rPr>
                <w:rFonts w:hint="eastAsia" w:ascii="仿宋_GB2312" w:eastAsia="仿宋_GB2312"/>
                <w:color w:val="auto"/>
                <w:lang w:eastAsia="zh-CN"/>
              </w:rPr>
              <w:t>中山六路</w:t>
            </w:r>
            <w:r>
              <w:rPr>
                <w:rFonts w:hint="eastAsia" w:ascii="仿宋_GB2312" w:eastAsia="仿宋_GB2312"/>
                <w:color w:val="auto"/>
                <w:lang w:val="en-US" w:eastAsia="zh-CN"/>
              </w:rPr>
              <w:t>281号107</w:t>
            </w:r>
          </w:p>
        </w:tc>
        <w:tc>
          <w:tcPr>
            <w:tcW w:w="1758" w:type="dxa"/>
            <w:shd w:val="clear" w:color="auto" w:fill="auto"/>
            <w:tcMar>
              <w:top w:w="75" w:type="dxa"/>
              <w:left w:w="150" w:type="dxa"/>
              <w:bottom w:w="75" w:type="dxa"/>
              <w:right w:w="150" w:type="dxa"/>
            </w:tcMar>
            <w:vAlign w:val="center"/>
          </w:tcPr>
          <w:p>
            <w:pPr>
              <w:pStyle w:val="5"/>
              <w:widowControl/>
              <w:spacing w:beforeAutospacing="0" w:afterAutospacing="0" w:line="300" w:lineRule="exact"/>
              <w:ind w:firstLine="420" w:firstLineChars="0"/>
              <w:jc w:val="both"/>
              <w:rPr>
                <w:rFonts w:hint="default" w:ascii="仿宋_GB2312" w:eastAsia="仿宋_GB2312"/>
                <w:color w:val="auto"/>
                <w:lang w:val="en-US" w:eastAsia="zh-CN"/>
              </w:rPr>
            </w:pPr>
            <w:r>
              <w:rPr>
                <w:rFonts w:hint="eastAsia" w:ascii="仿宋_GB2312" w:eastAsia="仿宋_GB2312"/>
                <w:color w:val="auto"/>
                <w:lang w:val="en-US" w:eastAsia="zh-CN"/>
              </w:rPr>
              <w:t>200</w:t>
            </w: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hint="eastAsia" w:ascii="仿宋_GB2312" w:hAnsi="宋体" w:eastAsia="仿宋_GB2312" w:cs="宋体"/>
          <w:color w:val="auto"/>
          <w:shd w:val="clear" w:color="auto" w:fill="FFFFFF"/>
          <w:lang w:eastAsia="zh-CN"/>
        </w:rPr>
      </w:pPr>
      <w:r>
        <w:rPr>
          <w:rFonts w:hint="eastAsia" w:ascii="仿宋_GB2312" w:hAnsi="宋体" w:eastAsia="仿宋_GB2312" w:cs="宋体"/>
          <w:color w:val="auto"/>
          <w:shd w:val="clear" w:color="auto" w:fill="FFFFFF"/>
          <w:lang w:eastAsia="zh-CN"/>
        </w:rPr>
        <w:t>注：如街道需根据实际情况对上述服务设施进行调整，服务机构须无条件配合。</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hint="eastAsia" w:ascii="仿宋_GB2312" w:hAnsi="宋体" w:eastAsia="仿宋_GB2312" w:cs="宋体"/>
          <w:color w:val="auto"/>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37" w:firstLineChars="224"/>
        <w:textAlignment w:val="auto"/>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（三）服务区域</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37" w:firstLineChars="224"/>
        <w:textAlignment w:val="auto"/>
        <w:rPr>
          <w:rFonts w:hint="eastAsia" w:ascii="仿宋_GB2312" w:eastAsia="仿宋_GB2312"/>
          <w:color w:val="auto"/>
          <w:lang w:eastAsia="zh-CN"/>
        </w:rPr>
      </w:pPr>
      <w:r>
        <w:rPr>
          <w:rFonts w:hint="eastAsia" w:ascii="仿宋_GB2312" w:hAnsi="宋体" w:eastAsia="仿宋_GB2312" w:cs="宋体"/>
          <w:color w:val="auto"/>
          <w:shd w:val="clear" w:color="auto" w:fill="FFFFFF"/>
        </w:rPr>
        <w:t>广州市越秀区光塔街道</w:t>
      </w:r>
      <w:r>
        <w:rPr>
          <w:rFonts w:hint="eastAsia" w:ascii="仿宋_GB2312" w:hAnsi="宋体" w:eastAsia="仿宋_GB2312" w:cs="宋体"/>
          <w:color w:val="auto"/>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600" w:firstLineChars="250"/>
        <w:textAlignment w:val="auto"/>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（四）服务对象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hint="eastAsia" w:ascii="仿宋_GB2312" w:hAnsi="宋体" w:eastAsia="仿宋_GB2312" w:cs="宋体"/>
          <w:color w:val="auto"/>
          <w:shd w:val="clear" w:color="auto" w:fill="FFFFFF"/>
          <w:lang w:val="en-US" w:eastAsia="zh-CN"/>
        </w:rPr>
      </w:pPr>
      <w:r>
        <w:rPr>
          <w:rFonts w:hint="eastAsia" w:ascii="仿宋_GB2312" w:hAnsi="宋体" w:eastAsia="仿宋_GB2312" w:cs="宋体"/>
          <w:color w:val="auto"/>
          <w:shd w:val="clear" w:color="auto" w:fill="FFFFFF"/>
          <w:lang w:eastAsia="zh-CN"/>
        </w:rPr>
        <w:t>光塔街道</w:t>
      </w:r>
      <w:r>
        <w:rPr>
          <w:rFonts w:hint="eastAsia" w:ascii="仿宋_GB2312" w:hAnsi="宋体" w:eastAsia="仿宋_GB2312" w:cs="宋体"/>
          <w:color w:val="auto"/>
          <w:shd w:val="clear" w:color="auto" w:fill="FFFFFF"/>
          <w:lang w:val="en-US" w:eastAsia="zh-CN"/>
        </w:rPr>
        <w:t>60岁以上长者。</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ascii="楷体_GB2312" w:eastAsia="楷体_GB2312"/>
          <w:color w:val="auto"/>
        </w:rPr>
      </w:pPr>
      <w:r>
        <w:rPr>
          <w:rFonts w:hint="eastAsia" w:ascii="楷体_GB2312" w:hAnsi="宋体" w:eastAsia="楷体_GB2312" w:cs="宋体"/>
          <w:bCs/>
          <w:color w:val="auto"/>
          <w:shd w:val="clear" w:color="auto" w:fill="FFFFFF"/>
        </w:rPr>
        <w:t>（五）服务形式</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根据提供服务时的场所不同，分为上门服务和到服务点服务。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（六）服务指标</w:t>
      </w:r>
    </w:p>
    <w:p>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40" w:firstLineChars="225"/>
        <w:textAlignment w:val="auto"/>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服务机构为光塔街道居家养老综合服务平台配备不少于</w:t>
      </w:r>
      <w:r>
        <w:rPr>
          <w:rFonts w:hint="eastAsia" w:ascii="仿宋_GB2312" w:hAnsi="宋体" w:eastAsia="仿宋_GB2312" w:cs="宋体"/>
          <w:color w:val="auto"/>
          <w:shd w:val="clear" w:color="auto" w:fill="FFFFFF"/>
          <w:lang w:val="en-US" w:eastAsia="zh-CN"/>
        </w:rPr>
        <w:t>7</w:t>
      </w:r>
      <w:r>
        <w:rPr>
          <w:rFonts w:hint="eastAsia" w:ascii="仿宋_GB2312" w:hAnsi="宋体" w:eastAsia="仿宋_GB2312" w:cs="宋体"/>
          <w:color w:val="auto"/>
          <w:shd w:val="clear" w:color="auto" w:fill="FFFFFF"/>
        </w:rPr>
        <w:t>名全职工作人员。</w:t>
      </w:r>
      <w:r>
        <w:rPr>
          <w:rFonts w:hint="eastAsia" w:ascii="仿宋_GB2312" w:hAnsi="宋体" w:eastAsia="仿宋_GB2312" w:cs="宋体"/>
          <w:color w:val="auto"/>
          <w:shd w:val="clear" w:color="auto" w:fill="FFFFFF"/>
          <w:lang w:eastAsia="zh-CN"/>
        </w:rPr>
        <w:t>另康复护理服务，护理人员与服务对象的配备比例不低于</w:t>
      </w:r>
      <w:r>
        <w:rPr>
          <w:rFonts w:hint="eastAsia" w:ascii="仿宋_GB2312" w:hAnsi="宋体" w:eastAsia="仿宋_GB2312" w:cs="宋体"/>
          <w:color w:val="auto"/>
          <w:shd w:val="clear" w:color="auto" w:fill="FFFFFF"/>
          <w:lang w:val="en-US" w:eastAsia="zh-CN"/>
        </w:rPr>
        <w:t>1：10。</w:t>
      </w:r>
      <w:r>
        <w:rPr>
          <w:rFonts w:hint="eastAsia" w:ascii="仿宋_GB2312" w:hAnsi="宋体" w:eastAsia="仿宋_GB2312" w:cs="宋体"/>
          <w:color w:val="auto"/>
          <w:shd w:val="clear" w:color="auto" w:fill="FFFFFF"/>
        </w:rPr>
        <w:t>街道（镇）</w:t>
      </w:r>
      <w:r>
        <w:rPr>
          <w:rFonts w:hint="eastAsia" w:ascii="仿宋_GB2312" w:hAnsi="宋体" w:eastAsia="仿宋_GB2312" w:cs="宋体"/>
          <w:color w:val="auto"/>
          <w:shd w:val="clear" w:color="auto" w:fill="FFFFFF"/>
          <w:lang w:eastAsia="zh-CN"/>
        </w:rPr>
        <w:t>综合养老服务中心（颐康中心）（</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最</w:t>
      </w:r>
      <w:r>
        <w:rPr>
          <w:rFonts w:hint="eastAsia" w:ascii="仿宋_GB2312" w:hAnsi="宋体" w:eastAsia="仿宋_GB2312" w:cs="宋体"/>
          <w:color w:val="auto"/>
          <w:shd w:val="clear" w:color="auto" w:fill="FFFFFF"/>
          <w:lang w:eastAsia="zh-CN"/>
        </w:rPr>
        <w:t>高</w:t>
      </w:r>
      <w:r>
        <w:rPr>
          <w:rFonts w:hint="eastAsia" w:ascii="仿宋_GB2312" w:hAnsi="宋体" w:eastAsia="仿宋_GB2312" w:cs="宋体"/>
          <w:color w:val="auto"/>
          <w:shd w:val="clear" w:color="auto" w:fill="FFFFFF"/>
        </w:rPr>
        <w:t>服务总工时为</w:t>
      </w:r>
      <w:r>
        <w:rPr>
          <w:rFonts w:hint="eastAsia" w:ascii="仿宋_GB2312" w:hAnsi="宋体" w:eastAsia="仿宋_GB2312" w:cs="宋体"/>
          <w:color w:val="auto"/>
          <w:shd w:val="clear" w:color="auto" w:fill="FFFFFF"/>
          <w:lang w:val="en-US" w:eastAsia="zh-CN"/>
        </w:rPr>
        <w:t>5051</w:t>
      </w:r>
      <w:r>
        <w:rPr>
          <w:rFonts w:hint="eastAsia" w:ascii="仿宋_GB2312" w:hAnsi="宋体" w:eastAsia="仿宋_GB2312" w:cs="宋体"/>
          <w:color w:val="auto"/>
          <w:shd w:val="clear" w:color="auto" w:fill="FFFFFF"/>
        </w:rPr>
        <w:t>小时，最</w:t>
      </w:r>
      <w:r>
        <w:rPr>
          <w:rFonts w:hint="eastAsia" w:ascii="仿宋_GB2312" w:hAnsi="宋体" w:eastAsia="仿宋_GB2312" w:cs="宋体"/>
          <w:color w:val="auto"/>
          <w:shd w:val="clear" w:color="auto" w:fill="FFFFFF"/>
          <w:lang w:eastAsia="zh-CN"/>
        </w:rPr>
        <w:t>低</w:t>
      </w:r>
      <w:r>
        <w:rPr>
          <w:rFonts w:hint="eastAsia" w:ascii="仿宋_GB2312" w:hAnsi="宋体" w:eastAsia="仿宋_GB2312" w:cs="宋体"/>
          <w:color w:val="auto"/>
          <w:shd w:val="clear" w:color="auto" w:fill="FFFFFF"/>
        </w:rPr>
        <w:t>服务总工时为</w:t>
      </w:r>
      <w:r>
        <w:rPr>
          <w:rFonts w:hint="eastAsia" w:ascii="仿宋_GB2312" w:hAnsi="宋体" w:eastAsia="仿宋_GB2312" w:cs="宋体"/>
          <w:color w:val="auto"/>
          <w:shd w:val="clear" w:color="auto" w:fill="FFFFFF"/>
          <w:lang w:val="en-US" w:eastAsia="zh-CN"/>
        </w:rPr>
        <w:t>3663</w:t>
      </w:r>
      <w:r>
        <w:rPr>
          <w:rFonts w:hint="eastAsia" w:ascii="仿宋_GB2312" w:hAnsi="宋体" w:eastAsia="仿宋_GB2312" w:cs="宋体"/>
          <w:color w:val="auto"/>
          <w:shd w:val="clear" w:color="auto" w:fill="FFFFFF"/>
        </w:rPr>
        <w:t>小时</w:t>
      </w:r>
      <w:r>
        <w:rPr>
          <w:rFonts w:hint="eastAsia" w:ascii="仿宋_GB2312" w:hAnsi="宋体" w:eastAsia="仿宋_GB2312" w:cs="宋体"/>
          <w:color w:val="auto"/>
          <w:shd w:val="clear" w:color="auto" w:fill="FFFFFF"/>
          <w:lang w:eastAsia="zh-CN"/>
        </w:rPr>
        <w:t>）</w:t>
      </w:r>
      <w:r>
        <w:rPr>
          <w:rFonts w:hint="eastAsia" w:ascii="仿宋_GB2312" w:hAnsi="宋体" w:eastAsia="仿宋_GB2312" w:cs="宋体"/>
          <w:color w:val="auto"/>
          <w:shd w:val="clear" w:color="auto" w:fill="FFFFFF"/>
        </w:rPr>
        <w:t>。</w:t>
      </w:r>
    </w:p>
    <w:p>
      <w:pPr>
        <w:pStyle w:val="5"/>
        <w:widowControl/>
        <w:spacing w:beforeAutospacing="0" w:afterAutospacing="0" w:line="300" w:lineRule="exact"/>
        <w:ind w:firstLine="420"/>
        <w:jc w:val="center"/>
        <w:rPr>
          <w:rFonts w:ascii="宋体" w:hAnsi="宋体" w:eastAsia="宋体" w:cs="宋体"/>
          <w:b/>
          <w:bCs/>
          <w:color w:val="auto"/>
          <w:shd w:val="clear" w:color="auto" w:fill="FFFFFF"/>
        </w:rPr>
      </w:pPr>
      <w:r>
        <w:rPr>
          <w:rFonts w:hint="eastAsia" w:ascii="宋体" w:hAnsi="宋体" w:eastAsia="宋体" w:cs="宋体"/>
          <w:b/>
          <w:bCs/>
          <w:color w:val="auto"/>
          <w:shd w:val="clear" w:color="auto" w:fill="FFFFFF"/>
        </w:rPr>
        <w:t>表4：服务指标表</w:t>
      </w:r>
    </w:p>
    <w:p>
      <w:pPr>
        <w:pStyle w:val="5"/>
        <w:widowControl/>
        <w:spacing w:beforeAutospacing="0" w:afterAutospacing="0" w:line="300" w:lineRule="exact"/>
        <w:ind w:firstLine="420"/>
        <w:jc w:val="center"/>
        <w:rPr>
          <w:rFonts w:ascii="宋体" w:hAnsi="宋体" w:eastAsia="宋体" w:cs="宋体"/>
          <w:b/>
          <w:bCs/>
          <w:color w:val="auto"/>
          <w:shd w:val="clear" w:color="auto" w:fill="FFFFFF"/>
        </w:rPr>
      </w:pPr>
    </w:p>
    <w:tbl>
      <w:tblPr>
        <w:tblStyle w:val="6"/>
        <w:tblW w:w="9364" w:type="dxa"/>
        <w:tblInd w:w="0" w:type="dxa"/>
        <w:tblBorders>
          <w:top w:val="single" w:color="000000" w:sz="6" w:space="0"/>
          <w:left w:val="single" w:color="000000" w:sz="6" w:space="0"/>
          <w:bottom w:val="none" w:color="auto" w:sz="0" w:space="0"/>
          <w:right w:val="none" w:color="auto" w:sz="0" w:space="0"/>
          <w:insideH w:val="none" w:color="auto" w:sz="0" w:space="0"/>
          <w:insideV w:val="none" w:color="auto" w:sz="0" w:space="0"/>
        </w:tblBorders>
        <w:tblLayout w:type="fixed"/>
        <w:tblCellMar>
          <w:top w:w="0" w:type="dxa"/>
          <w:left w:w="105" w:type="dxa"/>
          <w:bottom w:w="0" w:type="dxa"/>
          <w:right w:w="105" w:type="dxa"/>
        </w:tblCellMar>
      </w:tblPr>
      <w:tblGrid>
        <w:gridCol w:w="717"/>
        <w:gridCol w:w="851"/>
        <w:gridCol w:w="850"/>
        <w:gridCol w:w="3686"/>
        <w:gridCol w:w="850"/>
        <w:gridCol w:w="1134"/>
        <w:gridCol w:w="1276"/>
      </w:tblGrid>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序号</w:t>
            </w:r>
          </w:p>
        </w:tc>
        <w:tc>
          <w:tcPr>
            <w:tcW w:w="851"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服务类别</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服务项目</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服务内容</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指标单位</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最低量化指标</w:t>
            </w:r>
          </w:p>
        </w:tc>
        <w:tc>
          <w:tcPr>
            <w:tcW w:w="127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黑体" w:hAnsi="黑体" w:eastAsia="黑体"/>
                <w:color w:val="auto"/>
              </w:rPr>
            </w:pPr>
            <w:r>
              <w:rPr>
                <w:rFonts w:ascii="黑体" w:hAnsi="黑体" w:eastAsia="黑体"/>
                <w:color w:val="auto"/>
                <w:spacing w:val="15"/>
              </w:rPr>
              <w:t>备注</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1</w:t>
            </w:r>
          </w:p>
        </w:tc>
        <w:tc>
          <w:tcPr>
            <w:tcW w:w="851"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社区居家养老服务人员培训</w:t>
            </w:r>
          </w:p>
        </w:tc>
        <w:tc>
          <w:tcPr>
            <w:tcW w:w="850"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社区居家养老服务人员实训</w:t>
            </w: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街道养老管理员培训</w:t>
            </w:r>
          </w:p>
        </w:tc>
        <w:tc>
          <w:tcPr>
            <w:tcW w:w="850"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nil"/>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39</w:t>
            </w:r>
          </w:p>
        </w:tc>
        <w:tc>
          <w:tcPr>
            <w:tcW w:w="1276"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街道服务机构管理人员培训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上门生活照料服务培训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助残配餐服务培训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日间托管服务培训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医疗保健服务培训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康复护理服务培训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临时托养服务培训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文化娱乐服务培训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精神慰藉服务培训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临终关怀服务培训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nil"/>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3686" w:type="dxa"/>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安全援助服务培训</w:t>
            </w:r>
          </w:p>
        </w:tc>
        <w:tc>
          <w:tcPr>
            <w:tcW w:w="850"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continue"/>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宋体"/>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居家养老服务示范</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居家养老服务示范</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及时掌握居家养老服务开展情况。进行服务成果展示，接待社区居家养老服务来访、参观。</w:t>
            </w: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工时</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s="Times New Roman"/>
                <w:color w:val="auto"/>
                <w:spacing w:val="-15"/>
                <w:kern w:val="0"/>
                <w:sz w:val="24"/>
              </w:rPr>
            </w:pPr>
            <w:r>
              <w:rPr>
                <w:rFonts w:hint="eastAsia" w:ascii="仿宋_GB2312" w:eastAsia="仿宋_GB2312" w:cs="Times New Roman"/>
                <w:color w:val="auto"/>
                <w:spacing w:val="-15"/>
                <w:kern w:val="0"/>
                <w:sz w:val="24"/>
              </w:rPr>
              <w:t>不计入服务总工时</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single" w:color="000000" w:sz="4" w:space="0"/>
              <w:left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3</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r>
              <w:rPr>
                <w:rFonts w:hint="eastAsia" w:ascii="仿宋_GB2312" w:eastAsia="仿宋_GB2312"/>
                <w:color w:val="auto"/>
                <w:spacing w:val="15"/>
              </w:rPr>
              <w:t>生活照料（通用服务）</w:t>
            </w: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生活照料（通用服务）</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助洁服务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1.居家清洁：对客厅、卧室、厨房、洗浴间、卫生间等居家环境进行清扫、清洁；</w:t>
            </w: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2.物品整理：整理床铺（铺床、迭被子）及其他物品。</w:t>
            </w:r>
          </w:p>
        </w:tc>
        <w:tc>
          <w:tcPr>
            <w:tcW w:w="850"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both"/>
              <w:textAlignment w:val="auto"/>
              <w:rPr>
                <w:rFonts w:hint="eastAsia" w:ascii="仿宋_GB2312" w:eastAsia="仿宋_GB2312"/>
                <w:color w:val="auto"/>
                <w:spacing w:val="15"/>
              </w:rPr>
            </w:pPr>
            <w:r>
              <w:rPr>
                <w:rFonts w:hint="eastAsia" w:ascii="仿宋_GB2312" w:eastAsia="仿宋_GB2312"/>
                <w:color w:val="auto"/>
                <w:spacing w:val="15"/>
              </w:rPr>
              <w:t>工时</w:t>
            </w: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hint="eastAsia" w:ascii="仿宋_GB2312" w:eastAsia="仿宋_GB2312"/>
                <w:color w:val="auto"/>
                <w:sz w:val="24"/>
              </w:rPr>
            </w:pPr>
          </w:p>
          <w:p>
            <w:pPr>
              <w:spacing w:line="300" w:lineRule="exact"/>
              <w:jc w:val="center"/>
              <w:rPr>
                <w:rFonts w:ascii="仿宋_GB2312" w:eastAsia="仿宋_GB2312"/>
                <w:color w:val="auto"/>
                <w:sz w:val="24"/>
              </w:rPr>
            </w:pPr>
            <w:r>
              <w:rPr>
                <w:rFonts w:hint="eastAsia" w:ascii="仿宋_GB2312" w:eastAsia="仿宋_GB2312"/>
                <w:color w:val="auto"/>
                <w:sz w:val="24"/>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仿宋_GB2312" w:eastAsia="仿宋_GB2312"/>
                <w:color w:val="auto"/>
                <w:lang w:val="en-US" w:eastAsia="zh-CN"/>
              </w:rPr>
            </w:pPr>
            <w:r>
              <w:rPr>
                <w:rFonts w:hint="eastAsia" w:ascii="仿宋_GB2312" w:eastAsia="仿宋_GB2312"/>
                <w:color w:val="auto"/>
                <w:spacing w:val="15"/>
                <w:lang w:val="en-US" w:eastAsia="zh-CN"/>
              </w:rPr>
              <w:t>1928</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r>
              <w:rPr>
                <w:rFonts w:hint="eastAsia" w:ascii="仿宋_GB2312" w:eastAsia="仿宋_GB2312"/>
                <w:color w:val="auto"/>
                <w:spacing w:val="-15"/>
              </w:rPr>
              <w:t>由养老护理员或家政服务员提供服务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hint="eastAsia" w:ascii="仿宋_GB2312" w:eastAsia="仿宋_GB2312"/>
                <w:color w:val="auto"/>
                <w:spacing w:val="-15"/>
              </w:rPr>
            </w:pPr>
            <w:r>
              <w:rPr>
                <w:rFonts w:hint="eastAsia" w:ascii="仿宋_GB2312" w:eastAsia="仿宋_GB2312"/>
                <w:color w:val="auto"/>
                <w:spacing w:val="-15"/>
              </w:rPr>
              <w:t>由养老护理员或家政服务员提供服务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洗涤服务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清洗与晾晒衣物、床上用品（床单、被套、枕套）、窗帘、毛巾等。洗涤方式分为上门洗涤和集中送洗，大件、贵重衣物可采用集中送洗方式。</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陪伴就医</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代预约挂号、陪诊、协助与医生沟通、取药、缴费、陪同往返、协助出行等。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陪同外出</w:t>
            </w:r>
          </w:p>
        </w:tc>
        <w:tc>
          <w:tcPr>
            <w:tcW w:w="3686" w:type="dxa"/>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户外活动陪伴，陪护行动不便的服务对象到户外活动、包括（但不限于）参加社区活动、散步购物等。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上门做餐</w:t>
            </w:r>
          </w:p>
        </w:tc>
        <w:tc>
          <w:tcPr>
            <w:tcW w:w="3686" w:type="dxa"/>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代买食材、清洗烹饪、协助进食、餐后卫生等。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代办服务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lang w:eastAsia="zh-CN"/>
              </w:rPr>
              <w:t>代</w:t>
            </w:r>
            <w:r>
              <w:rPr>
                <w:rFonts w:hint="eastAsia" w:ascii="仿宋_GB2312" w:eastAsia="仿宋_GB2312"/>
                <w:color w:val="auto"/>
                <w:spacing w:val="15"/>
              </w:rPr>
              <w:t>预约挂号、银行打薄、排队；代缴纳水电、煤气、话费等；代收寄快递；代领物品；代送物品；代买生活必需品；协助保修设备及物品；协助申请相关事务等。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日常提示</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根据医嘱或家属要求按时提醒老年人吃药、取药，提醒就医或办理相关事务。</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90"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情感关怀</w:t>
            </w:r>
          </w:p>
        </w:tc>
        <w:tc>
          <w:tcPr>
            <w:tcW w:w="3686" w:type="dxa"/>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陪同聊天、定期探访（上门/电访）</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2152"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hint="eastAsia" w:ascii="仿宋_GB2312" w:eastAsia="仿宋_GB2312"/>
                <w:color w:val="auto"/>
                <w:lang w:val="en-US" w:eastAsia="zh-CN"/>
              </w:rPr>
            </w:pPr>
            <w:r>
              <w:rPr>
                <w:rFonts w:hint="eastAsia" w:ascii="仿宋_GB2312" w:eastAsia="仿宋_GB2312"/>
                <w:color w:val="auto"/>
                <w:spacing w:val="15"/>
              </w:rPr>
              <w:t>生活照料（专业服务</w:t>
            </w:r>
            <w:r>
              <w:rPr>
                <w:rFonts w:hint="eastAsia" w:ascii="仿宋_GB2312" w:eastAsia="仿宋_GB2312"/>
                <w:color w:val="auto"/>
                <w:spacing w:val="15"/>
                <w:lang w:val="en-US" w:eastAsia="zh-CN"/>
              </w:rPr>
              <w:t>)</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个人护理</w:t>
            </w:r>
          </w:p>
        </w:tc>
        <w:tc>
          <w:tcPr>
            <w:tcW w:w="3686" w:type="dxa"/>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1.皮肤外用药物涂擦；留置尿管护理；人工肛门便袋护理；口腔清洁；协助翻身；褥疮预防；叩背排痰等；</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2.协助穿（脱）衣；洗脸；梳头；剪发；剃须；刷牙；漱口、洗手；洗足；会阴清洁；修剪指（趾）甲。</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restart"/>
            <w:tcBorders>
              <w:top w:val="nil"/>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hint="default" w:ascii="仿宋_GB2312" w:eastAsia="仿宋_GB2312"/>
                <w:color w:val="auto"/>
                <w:sz w:val="24"/>
                <w:lang w:val="en-US" w:eastAsia="zh-CN"/>
              </w:rPr>
            </w:pPr>
          </w:p>
        </w:tc>
        <w:tc>
          <w:tcPr>
            <w:tcW w:w="1276"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r>
              <w:rPr>
                <w:rFonts w:hint="eastAsia" w:ascii="仿宋_GB2312" w:eastAsia="仿宋_GB2312"/>
                <w:color w:val="auto"/>
                <w:spacing w:val="-15"/>
                <w:sz w:val="24"/>
                <w:szCs w:val="24"/>
              </w:rPr>
              <w:t>由养老护理、康复治疗师、护士等专业人员提供服务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bottom w:val="nil"/>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转移护理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协助床上移动；床上体位转换；轮椅转移移动辅助器应用指导等。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855" w:hRule="atLeast"/>
        </w:trPr>
        <w:tc>
          <w:tcPr>
            <w:tcW w:w="717" w:type="dxa"/>
            <w:vMerge w:val="restart"/>
            <w:tcBorders>
              <w:top w:val="nil"/>
              <w:left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hint="eastAsia" w:ascii="仿宋_GB2312" w:eastAsia="仿宋_GB2312"/>
                <w:color w:val="auto"/>
                <w:lang w:val="en-US" w:eastAsia="zh-CN"/>
              </w:rPr>
            </w:pPr>
            <w:r>
              <w:rPr>
                <w:rFonts w:hint="eastAsia" w:ascii="仿宋_GB2312" w:eastAsia="仿宋_GB2312"/>
                <w:color w:val="auto"/>
                <w:lang w:val="en-US" w:eastAsia="zh-CN"/>
              </w:rPr>
              <w:t>3</w:t>
            </w: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pStyle w:val="5"/>
              <w:spacing w:line="300" w:lineRule="exact"/>
              <w:rPr>
                <w:rFonts w:ascii="仿宋_GB2312" w:eastAsia="仿宋_GB2312"/>
                <w:color w:val="auto"/>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排泄护理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协助排便；更换一次性尿裤；会阴护理；留置尿管护理；人工肛门便袋护理等。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协助进餐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喂食或帮助服务对象使用辅助器材进食，包括喂水、喂饭、鼻饲、喂药等。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助浴服务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洗头；洗澡（温水擦浴、沐浴）；床上浴、更换衣物。</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90"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助行服务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协助服务对象行走、外出、散步，协助其使用助行器/步行器移动。</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其他护理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睡眠照顾（协助脱去衣裤就寝、盖被、定时翻身）；热水袋保暖；更换床上用品。</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bottom w:val="single" w:color="auto"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日常提示</w:t>
            </w:r>
          </w:p>
        </w:tc>
        <w:tc>
          <w:tcPr>
            <w:tcW w:w="3686" w:type="dxa"/>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根据医嘱或家属要求按时提醒老年人吃药、取药，提醒就医或办理相关事宜。</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p>
        </w:tc>
        <w:tc>
          <w:tcPr>
            <w:tcW w:w="1134" w:type="dxa"/>
            <w:vMerge w:val="continue"/>
            <w:tcBorders>
              <w:top w:val="single" w:color="000000" w:sz="4" w:space="0"/>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bottom w:val="single" w:color="auto"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0" w:hRule="atLeast"/>
        </w:trPr>
        <w:tc>
          <w:tcPr>
            <w:tcW w:w="717" w:type="dxa"/>
            <w:vMerge w:val="continue"/>
            <w:tcBorders>
              <w:top w:val="single" w:color="auto"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情感关怀</w:t>
            </w:r>
          </w:p>
        </w:tc>
        <w:tc>
          <w:tcPr>
            <w:tcW w:w="3686" w:type="dxa"/>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陪同聊天、定期探访（上门/电访）。</w:t>
            </w:r>
          </w:p>
        </w:tc>
        <w:tc>
          <w:tcPr>
            <w:tcW w:w="850"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auto"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931"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4</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p>
            <w:pPr>
              <w:spacing w:line="300" w:lineRule="exact"/>
              <w:rPr>
                <w:rFonts w:ascii="仿宋_GB2312" w:eastAsia="仿宋_GB2312"/>
                <w:color w:val="auto"/>
                <w:sz w:val="24"/>
              </w:rPr>
            </w:pPr>
            <w:r>
              <w:rPr>
                <w:rFonts w:hint="eastAsia" w:ascii="仿宋_GB2312" w:eastAsia="仿宋_GB2312"/>
                <w:color w:val="auto"/>
                <w:spacing w:val="15"/>
                <w:sz w:val="24"/>
              </w:rPr>
              <w:t>助餐配餐</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集中用餐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在社区长者饭堂集中用餐、打包外带。</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hint="default" w:ascii="仿宋_GB2312" w:eastAsia="仿宋_GB2312"/>
                <w:color w:val="auto"/>
                <w:lang w:val="en-US" w:eastAsia="zh-CN"/>
              </w:rPr>
            </w:pPr>
            <w:r>
              <w:rPr>
                <w:rFonts w:hint="eastAsia" w:ascii="仿宋_GB2312" w:eastAsia="仿宋_GB2312"/>
                <w:color w:val="auto"/>
                <w:spacing w:val="15"/>
                <w:lang w:val="en-US" w:eastAsia="zh-CN"/>
              </w:rPr>
              <w:t>1500</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由助餐配餐点提供服务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上门送餐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老年助餐配餐服务机构送餐到家服务；由居家服务员协助使用网络订餐；居家服务员代购后送餐上门。</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036" w:hRule="atLeast"/>
        </w:trPr>
        <w:tc>
          <w:tcPr>
            <w:tcW w:w="717" w:type="dxa"/>
            <w:vMerge w:val="restart"/>
            <w:tcBorders>
              <w:top w:val="single" w:color="000000" w:sz="4" w:space="0"/>
              <w:left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r>
              <w:rPr>
                <w:rFonts w:hint="eastAsia" w:ascii="仿宋_GB2312" w:eastAsia="仿宋_GB2312"/>
                <w:color w:val="auto"/>
                <w:sz w:val="24"/>
              </w:rPr>
              <w:t>5</w:t>
            </w:r>
          </w:p>
        </w:tc>
        <w:tc>
          <w:tcPr>
            <w:tcW w:w="851"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r>
              <w:rPr>
                <w:rFonts w:hint="eastAsia" w:ascii="仿宋_GB2312" w:eastAsia="仿宋_GB2312"/>
                <w:color w:val="auto"/>
                <w:sz w:val="24"/>
              </w:rPr>
              <w:t>康复护理</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康复咨询</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健康、康复咨询、康复指引。</w:t>
            </w:r>
          </w:p>
        </w:tc>
        <w:tc>
          <w:tcPr>
            <w:tcW w:w="850"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sz w:val="24"/>
              </w:rPr>
            </w:pPr>
            <w:r>
              <w:rPr>
                <w:rFonts w:hint="eastAsia" w:ascii="仿宋_GB2312" w:eastAsia="仿宋_GB2312"/>
                <w:color w:val="auto"/>
                <w:spacing w:val="15"/>
              </w:rPr>
              <w:t>工时</w:t>
            </w:r>
          </w:p>
        </w:tc>
        <w:tc>
          <w:tcPr>
            <w:tcW w:w="1134"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286</w:t>
            </w:r>
          </w:p>
        </w:tc>
        <w:tc>
          <w:tcPr>
            <w:tcW w:w="1276"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r>
              <w:rPr>
                <w:rFonts w:hint="eastAsia" w:ascii="仿宋_GB2312" w:eastAsia="仿宋_GB2312" w:cstheme="minorBidi"/>
                <w:color w:val="auto"/>
                <w:spacing w:val="-22"/>
                <w:kern w:val="2"/>
                <w:sz w:val="24"/>
                <w:szCs w:val="24"/>
              </w:rPr>
              <w:t>由康复治疗师、执业护士、执业医师提供服务</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235"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器材锻炼</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安全性高、操作简便、老人可自行开展的一般器材锻炼（如按摩椅、手指训练器、拼图、握力器等）。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050"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康复训练</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肢体类康复训练（如腰椎康复训练、关节放松训练等）、认知感官类训练（如记忆力训练、认知测试等）。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jc w:val="center"/>
              <w:rPr>
                <w:rFonts w:hint="default" w:ascii="仿宋_GB2312" w:eastAsia="仿宋_GB2312"/>
                <w:color w:val="auto"/>
                <w:sz w:val="24"/>
                <w:lang w:val="en-US" w:eastAsia="zh-CN"/>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60" w:hRule="atLeast"/>
        </w:trPr>
        <w:tc>
          <w:tcPr>
            <w:tcW w:w="717" w:type="dxa"/>
            <w:vMerge w:val="continue"/>
            <w:tcBorders>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康复理疗</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针灸理疗、穴位针灸、足部理疗、器械按摩、中风物理治疗、颈肩推拿、拔罐刮痧。</w:t>
            </w:r>
          </w:p>
        </w:tc>
        <w:tc>
          <w:tcPr>
            <w:tcW w:w="850"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902"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6</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医疗保健</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健康档案</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建立健康档案、进行病历记录、个人药物记录、体检记录等，定时跟踪健康情况。</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120</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hint="eastAsia" w:ascii="仿宋_GB2312" w:eastAsia="仿宋_GB2312"/>
                <w:color w:val="auto"/>
                <w:lang w:eastAsia="zh-CN"/>
              </w:rPr>
            </w:pPr>
            <w:r>
              <w:rPr>
                <w:rFonts w:hint="eastAsia" w:ascii="仿宋_GB2312" w:eastAsia="仿宋_GB2312" w:cstheme="minorBidi"/>
                <w:color w:val="auto"/>
                <w:spacing w:val="-15"/>
                <w:kern w:val="2"/>
              </w:rPr>
              <w:t>由专业医疗机构、医护人员提供</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预防保健</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1.提供健康咨询、饮食咨询、营养指导、锻炼指导、活动指导服务；</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2.用药指导与用药观察，日常提示吃药、取药；</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3.健康宣教、保健知识讲座、保健学习及相关的小组活动；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4.社区义诊。</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89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基础监测</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常规胜利指数监测，如体温、血压、心率、呼吸、血糖、体重等。</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健康体检</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常规体格检查、血常规、尿常规、大便常规、肝功能、肾功能、空腹血糖、血脂和心电图检测等项目。</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883"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医疗护理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鼻饲、物理降温、导尿、压疮护理、创口换药、吸氧、造口护理、其他专业护理项目</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1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家庭病床</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家庭医生、上门巡诊等。</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003" w:hRule="atLeast"/>
        </w:trPr>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7</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文化娱乐</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娱乐活动</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如棋牌、歌舞、打球、书画、阅读、太极、健康操、八段锦、茶话会、生日会、游园会等。</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150</w:t>
            </w:r>
          </w:p>
        </w:tc>
        <w:tc>
          <w:tcPr>
            <w:tcW w:w="1276"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00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老年教育</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老年</w:t>
            </w:r>
            <w:r>
              <w:rPr>
                <w:rFonts w:hint="eastAsia" w:ascii="仿宋_GB2312" w:eastAsia="仿宋_GB2312"/>
                <w:color w:val="auto"/>
                <w:spacing w:val="15"/>
                <w:lang w:eastAsia="zh-CN"/>
              </w:rPr>
              <w:t>是</w:t>
            </w:r>
            <w:r>
              <w:rPr>
                <w:rFonts w:hint="eastAsia" w:ascii="仿宋_GB2312" w:eastAsia="仿宋_GB2312"/>
                <w:color w:val="auto"/>
                <w:spacing w:val="15"/>
              </w:rPr>
              <w:t>课堂，如钢琴、摄影书法绘画、英语、计算机、编织、手工等。</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8</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精神慰藉</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电话问候</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定期电话问候、聊天、提示。</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400</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r>
              <w:rPr>
                <w:rFonts w:hint="eastAsia" w:ascii="仿宋_GB2312" w:eastAsia="仿宋_GB2312"/>
                <w:color w:val="auto"/>
                <w:sz w:val="24"/>
              </w:rPr>
              <w:t>服务对象需一人一档，有探访记录、回访记录。</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关怀访视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定期上门探访、关怀问候。</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服务回访</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定期回访，了解服务对象满意度。</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心理关怀</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提供心理上的安慰、支持、疏导等关怀服务。</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个案服务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由社工开展的紧急介入、个案辅导、探访等。</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9</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安全援助</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紧急呼援</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主要指平安通服务，包括紧急呼援服务、定位服务、咨询转介服务、心理慰藉、定期关怀服务、提示服务等。</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工时</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240</w:t>
            </w: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stheme="minorBidi"/>
                <w:color w:val="auto"/>
                <w:spacing w:val="-15"/>
                <w:kern w:val="2"/>
              </w:rPr>
              <w:t>由平安通服务机构提供服务，服务机构需与平安通服务公司进行对接。</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定期巡防</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定期上门查看、电话查询，协助专业人员检查服务对象水电煤等情况，排除安全隐患；遇恶劣天气提醒服务对象注意安全。</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3010"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适老化家居改造</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1.上门查看服务对象家居安全，进行安全评估、居家安全教育；</w:t>
            </w:r>
          </w:p>
          <w:p>
            <w:pPr>
              <w:pStyle w:val="5"/>
              <w:keepNext w:val="0"/>
              <w:keepLines w:val="0"/>
              <w:pageBreakBefore w:val="0"/>
              <w:widowControl/>
              <w:kinsoku/>
              <w:wordWrap/>
              <w:overflowPunct/>
              <w:topLinePunct w:val="0"/>
              <w:autoSpaceDE/>
              <w:autoSpaceDN/>
              <w:bidi w:val="0"/>
              <w:adjustRightInd/>
              <w:snapToGrid/>
              <w:spacing w:beforeAutospacing="0" w:afterAutospacing="0" w:line="260" w:lineRule="exact"/>
              <w:textAlignment w:val="auto"/>
              <w:rPr>
                <w:rFonts w:ascii="仿宋_GB2312" w:eastAsia="仿宋_GB2312"/>
                <w:color w:val="auto"/>
              </w:rPr>
            </w:pPr>
            <w:r>
              <w:rPr>
                <w:rFonts w:hint="eastAsia" w:ascii="仿宋_GB2312" w:eastAsia="仿宋_GB2312"/>
                <w:color w:val="auto"/>
                <w:spacing w:val="15"/>
              </w:rPr>
              <w:t>2.通过链接资源，协助服务对象申请《广州市特殊困难老年人家庭及居住区公共设施无障碍改造项目资金管理办法》等相关文件规定的无障碍改造、适老化家居改造相关补贴。</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提供</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r>
              <w:rPr>
                <w:rFonts w:hint="eastAsia" w:ascii="仿宋_GB2312" w:eastAsia="仿宋_GB2312"/>
                <w:color w:val="auto"/>
                <w:sz w:val="24"/>
              </w:rPr>
              <w:t>40人次</w:t>
            </w:r>
          </w:p>
        </w:tc>
        <w:tc>
          <w:tcPr>
            <w:tcW w:w="127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center"/>
              <w:rPr>
                <w:rFonts w:ascii="仿宋_GB2312" w:eastAsia="仿宋_GB2312"/>
                <w:color w:val="auto"/>
              </w:rPr>
            </w:pPr>
            <w:r>
              <w:rPr>
                <w:rFonts w:hint="eastAsia" w:ascii="仿宋_GB2312" w:eastAsia="仿宋_GB2312"/>
                <w:color w:val="auto"/>
                <w:spacing w:val="15"/>
              </w:rPr>
              <w:t>10</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老年用品服务</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展示与咨询</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拐杖、轮椅、坐便器、助行器、生活辅助器具等老年用品展示与介绍。</w:t>
            </w:r>
          </w:p>
        </w:tc>
        <w:tc>
          <w:tcPr>
            <w:tcW w:w="850"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hint="eastAsia" w:ascii="仿宋_GB2312" w:eastAsia="仿宋_GB2312"/>
                <w:color w:val="auto"/>
                <w:spacing w:val="15"/>
              </w:rPr>
            </w:pPr>
            <w:r>
              <w:rPr>
                <w:rFonts w:hint="eastAsia" w:ascii="仿宋_GB2312" w:eastAsia="仿宋_GB2312"/>
                <w:color w:val="auto"/>
                <w:spacing w:val="15"/>
              </w:rPr>
              <w:t>提供</w:t>
            </w:r>
          </w:p>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hint="eastAsia" w:ascii="仿宋_GB2312" w:eastAsia="仿宋_GB2312"/>
                <w:color w:val="auto"/>
                <w:spacing w:val="15"/>
              </w:rPr>
            </w:pPr>
          </w:p>
          <w:p>
            <w:pPr>
              <w:pStyle w:val="5"/>
              <w:widowControl/>
              <w:spacing w:beforeAutospacing="0" w:afterAutospacing="0" w:line="300" w:lineRule="exact"/>
              <w:jc w:val="both"/>
              <w:rPr>
                <w:rFonts w:ascii="仿宋_GB2312" w:eastAsia="仿宋_GB2312"/>
                <w:color w:val="auto"/>
              </w:rPr>
            </w:pPr>
            <w:r>
              <w:rPr>
                <w:rFonts w:hint="eastAsia" w:ascii="仿宋_GB2312" w:eastAsia="仿宋_GB2312"/>
                <w:color w:val="auto"/>
                <w:spacing w:val="15"/>
              </w:rPr>
              <w:t>提供</w:t>
            </w:r>
          </w:p>
        </w:tc>
        <w:tc>
          <w:tcPr>
            <w:tcW w:w="1134"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300" w:lineRule="exact"/>
              <w:jc w:val="left"/>
              <w:textAlignment w:val="center"/>
              <w:rPr>
                <w:rFonts w:ascii="仿宋_GB2312" w:eastAsia="仿宋_GB2312"/>
                <w:color w:val="auto"/>
                <w:sz w:val="24"/>
              </w:rPr>
            </w:pPr>
          </w:p>
        </w:tc>
        <w:tc>
          <w:tcPr>
            <w:tcW w:w="1276"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hint="eastAsia" w:ascii="仿宋_GB2312" w:eastAsia="仿宋_GB2312"/>
                <w:color w:val="auto"/>
                <w:spacing w:val="15"/>
              </w:rPr>
            </w:pPr>
            <w:r>
              <w:rPr>
                <w:rFonts w:hint="eastAsia" w:ascii="仿宋_GB2312" w:eastAsia="仿宋_GB2312"/>
                <w:color w:val="auto"/>
                <w:spacing w:val="15"/>
              </w:rPr>
              <w:t>不计入服务总工时</w:t>
            </w: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hint="eastAsia" w:ascii="仿宋_GB2312" w:eastAsia="仿宋_GB2312"/>
                <w:color w:val="auto"/>
                <w:spacing w:val="15"/>
              </w:rPr>
            </w:pPr>
          </w:p>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不计入服务总工时</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租赁与回收</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助行器（四脚拐杖、三脚拐杖）、轮椅、代步车、护理床、防褥疮床垫、床面桌、制氧机、助力转移车、洗澡椅、斜躺椅、坐便椅等辅具租赁。</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81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30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捐赠与受赠</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300" w:lineRule="exact"/>
              <w:rPr>
                <w:rFonts w:ascii="仿宋_GB2312" w:eastAsia="仿宋_GB2312"/>
                <w:color w:val="auto"/>
              </w:rPr>
            </w:pPr>
            <w:r>
              <w:rPr>
                <w:rFonts w:hint="eastAsia" w:ascii="仿宋_GB2312" w:eastAsia="仿宋_GB2312"/>
                <w:color w:val="auto"/>
                <w:spacing w:val="15"/>
              </w:rPr>
              <w:t>老年用品、物资捐赠与受赠。</w:t>
            </w:r>
          </w:p>
        </w:tc>
        <w:tc>
          <w:tcPr>
            <w:tcW w:w="850"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134"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c>
          <w:tcPr>
            <w:tcW w:w="1276"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30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center"/>
              <w:rPr>
                <w:rFonts w:ascii="仿宋_GB2312" w:eastAsia="仿宋_GB2312"/>
                <w:color w:val="auto"/>
              </w:rPr>
            </w:pPr>
            <w:r>
              <w:rPr>
                <w:rFonts w:hint="eastAsia" w:ascii="仿宋_GB2312" w:eastAsia="仿宋_GB2312"/>
                <w:color w:val="auto"/>
                <w:spacing w:val="15"/>
              </w:rPr>
              <w:t>11</w:t>
            </w:r>
          </w:p>
        </w:tc>
        <w:tc>
          <w:tcPr>
            <w:tcW w:w="851"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转介服务</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转介服务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包括转介医疗、护理、康复、法律援助、社工服务、义工服务、入住养老机构等服务。</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both"/>
              <w:rPr>
                <w:rFonts w:ascii="仿宋_GB2312" w:eastAsia="仿宋_GB2312"/>
                <w:color w:val="auto"/>
              </w:rPr>
            </w:pPr>
            <w:r>
              <w:rPr>
                <w:rFonts w:hint="eastAsia" w:ascii="仿宋_GB2312" w:eastAsia="仿宋_GB2312"/>
                <w:color w:val="auto"/>
                <w:spacing w:val="15"/>
              </w:rPr>
              <w:t>提供</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c>
          <w:tcPr>
            <w:tcW w:w="127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r>
              <w:rPr>
                <w:rFonts w:hint="eastAsia" w:ascii="仿宋_GB2312" w:eastAsia="仿宋_GB2312" w:cs="Times New Roman"/>
                <w:color w:val="auto"/>
                <w:spacing w:val="15"/>
                <w:kern w:val="0"/>
                <w:sz w:val="24"/>
              </w:rPr>
              <w:t>不计入服务总工时</w:t>
            </w: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center"/>
              <w:rPr>
                <w:rFonts w:ascii="仿宋_GB2312" w:eastAsia="仿宋_GB2312"/>
                <w:color w:val="auto"/>
              </w:rPr>
            </w:pPr>
            <w:r>
              <w:rPr>
                <w:rFonts w:hint="eastAsia" w:ascii="仿宋_GB2312" w:eastAsia="仿宋_GB2312"/>
                <w:color w:val="auto"/>
              </w:rPr>
              <w:t>12</w:t>
            </w:r>
          </w:p>
          <w:p>
            <w:pPr>
              <w:spacing w:line="280" w:lineRule="exact"/>
              <w:jc w:val="center"/>
              <w:rPr>
                <w:rFonts w:ascii="仿宋_GB2312" w:eastAsia="仿宋_GB2312"/>
                <w:color w:val="auto"/>
              </w:rPr>
            </w:pPr>
          </w:p>
        </w:tc>
        <w:tc>
          <w:tcPr>
            <w:tcW w:w="851" w:type="dxa"/>
            <w:vMerge w:val="restart"/>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日间托管</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助餐配餐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hint="eastAsia" w:ascii="仿宋_GB2312" w:eastAsia="仿宋_GB2312"/>
                <w:color w:val="auto"/>
                <w:lang w:eastAsia="zh-CN"/>
              </w:rPr>
            </w:pPr>
            <w:r>
              <w:rPr>
                <w:rFonts w:hint="eastAsia" w:ascii="仿宋_GB2312" w:eastAsia="仿宋_GB2312"/>
                <w:color w:val="auto"/>
                <w:spacing w:val="15"/>
              </w:rPr>
              <w:t>午餐</w:t>
            </w:r>
          </w:p>
        </w:tc>
        <w:tc>
          <w:tcPr>
            <w:tcW w:w="850"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both"/>
              <w:rPr>
                <w:rFonts w:hint="eastAsia" w:ascii="仿宋_GB2312" w:eastAsia="仿宋_GB2312"/>
                <w:color w:val="auto"/>
                <w:lang w:val="en-US" w:eastAsia="zh-CN"/>
              </w:rPr>
            </w:pPr>
            <w:r>
              <w:rPr>
                <w:rFonts w:hint="eastAsia" w:ascii="仿宋_GB2312" w:eastAsia="仿宋_GB2312"/>
                <w:color w:val="auto"/>
                <w:lang w:val="en-US" w:eastAsia="zh-CN"/>
              </w:rPr>
              <w:t>工时</w:t>
            </w:r>
          </w:p>
        </w:tc>
        <w:tc>
          <w:tcPr>
            <w:tcW w:w="1134"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388</w:t>
            </w:r>
          </w:p>
        </w:tc>
        <w:tc>
          <w:tcPr>
            <w:tcW w:w="1276"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康复训练</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使用中心器械，步行器、固定单车、手臂滑轮、平衡杠、肋木、扶梯、手指训练器等器械开展的康复或保健训练。</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健康管理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体温、血压、血糖监测，健康操运动等。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9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文化娱乐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棋牌、歌舞、打球、绘画、看书、兴趣学习等。</w:t>
            </w:r>
          </w:p>
        </w:tc>
        <w:tc>
          <w:tcPr>
            <w:tcW w:w="850"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85" w:hRule="atLeast"/>
        </w:trPr>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午间休息</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提供床位</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both"/>
              <w:rPr>
                <w:rFonts w:ascii="仿宋_GB2312" w:eastAsia="仿宋_GB2312"/>
                <w:color w:val="auto"/>
              </w:rPr>
            </w:pPr>
            <w:r>
              <w:rPr>
                <w:rFonts w:hint="eastAsia" w:ascii="仿宋_GB2312" w:eastAsia="仿宋_GB2312"/>
                <w:color w:val="auto"/>
                <w:spacing w:val="15"/>
              </w:rPr>
              <w:t>床位数</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center"/>
              <w:textAlignment w:val="center"/>
              <w:rPr>
                <w:rFonts w:ascii="仿宋_GB2312" w:eastAsia="仿宋_GB2312"/>
                <w:color w:val="auto"/>
                <w:sz w:val="24"/>
              </w:rPr>
            </w:pPr>
            <w:r>
              <w:rPr>
                <w:rFonts w:hint="eastAsia" w:ascii="仿宋_GB2312" w:eastAsia="仿宋_GB2312"/>
                <w:color w:val="auto"/>
                <w:sz w:val="24"/>
              </w:rPr>
              <w:t>10</w:t>
            </w:r>
          </w:p>
        </w:tc>
        <w:tc>
          <w:tcPr>
            <w:tcW w:w="1276"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560" w:hRule="atLeast"/>
        </w:trPr>
        <w:tc>
          <w:tcPr>
            <w:tcW w:w="717" w:type="dxa"/>
            <w:vMerge w:val="restart"/>
            <w:tcBorders>
              <w:top w:val="single" w:color="000000" w:sz="4" w:space="0"/>
              <w:left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center"/>
              <w:rPr>
                <w:rFonts w:ascii="仿宋_GB2312" w:eastAsia="仿宋_GB2312"/>
                <w:color w:val="auto"/>
              </w:rPr>
            </w:pPr>
            <w:r>
              <w:rPr>
                <w:rFonts w:hint="eastAsia" w:ascii="仿宋_GB2312" w:eastAsia="仿宋_GB2312"/>
                <w:color w:val="auto"/>
              </w:rPr>
              <w:t>13</w:t>
            </w:r>
          </w:p>
        </w:tc>
        <w:tc>
          <w:tcPr>
            <w:tcW w:w="851"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r>
              <w:rPr>
                <w:rFonts w:hint="eastAsia" w:ascii="仿宋_GB2312" w:eastAsia="仿宋_GB2312"/>
                <w:color w:val="auto"/>
                <w:spacing w:val="15"/>
                <w:sz w:val="24"/>
              </w:rPr>
              <w:t>临时托养</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助餐配餐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keepNext w:val="0"/>
              <w:keepLines w:val="0"/>
              <w:pageBreakBefore w:val="0"/>
              <w:widowControl/>
              <w:kinsoku/>
              <w:wordWrap/>
              <w:overflowPunct/>
              <w:topLinePunct w:val="0"/>
              <w:autoSpaceDE/>
              <w:autoSpaceDN/>
              <w:bidi w:val="0"/>
              <w:adjustRightInd/>
              <w:snapToGrid/>
              <w:spacing w:beforeAutospacing="0" w:afterAutospacing="0" w:line="240" w:lineRule="exact"/>
              <w:textAlignment w:val="auto"/>
              <w:rPr>
                <w:rFonts w:ascii="仿宋_GB2312" w:eastAsia="仿宋_GB2312"/>
                <w:color w:val="auto"/>
              </w:rPr>
            </w:pPr>
            <w:r>
              <w:rPr>
                <w:rFonts w:hint="eastAsia" w:ascii="仿宋_GB2312" w:eastAsia="仿宋_GB2312"/>
                <w:color w:val="auto"/>
                <w:spacing w:val="15"/>
              </w:rPr>
              <w:t>早餐、午餐、晚餐。</w:t>
            </w:r>
          </w:p>
        </w:tc>
        <w:tc>
          <w:tcPr>
            <w:tcW w:w="850"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both"/>
              <w:rPr>
                <w:rFonts w:ascii="仿宋_GB2312" w:eastAsia="仿宋_GB2312"/>
                <w:color w:val="auto"/>
              </w:rPr>
            </w:pPr>
            <w:r>
              <w:rPr>
                <w:rFonts w:hint="eastAsia" w:ascii="仿宋_GB2312" w:eastAsia="仿宋_GB2312"/>
                <w:color w:val="auto"/>
                <w:lang w:val="en-US" w:eastAsia="zh-CN"/>
              </w:rPr>
              <w:t>工时</w:t>
            </w:r>
          </w:p>
        </w:tc>
        <w:tc>
          <w:tcPr>
            <w:tcW w:w="1134"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c>
          <w:tcPr>
            <w:tcW w:w="1276" w:type="dxa"/>
            <w:vMerge w:val="restart"/>
            <w:tcBorders>
              <w:top w:val="single" w:color="000000" w:sz="4" w:space="0"/>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个人护理</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晨间护理；晚间护理；皮肤外用药物涂擦；留置尿管护理；人工肛门便袋护理；协助穿（脱）衣；洗头；洗脸；梳头；剃须；刷牙；漱口；口腔清洁；洗手；洗足；洗澡；床上擦浴；女性会阴清洁；修剪指（趾）甲；褥疮预防；叩背排痰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hint="default" w:ascii="仿宋_GB2312" w:eastAsia="仿宋_GB2312"/>
                <w:color w:val="auto"/>
                <w:sz w:val="24"/>
                <w:lang w:val="en-US" w:eastAsia="zh-CN"/>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1160"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康复训练</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使用中心器械：步行器、固定单车、手臂滑轮、平衡杠、肋木、扶梯、手指训练器等器械开展的康复或训练。</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20" w:hRule="atLeast"/>
        </w:trPr>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文化娱乐</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棋牌、歌舞、打球、绘画、看书、兴趣学习等。</w:t>
            </w:r>
          </w:p>
        </w:tc>
        <w:tc>
          <w:tcPr>
            <w:tcW w:w="850"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vMerge w:val="continue"/>
            <w:tcBorders>
              <w:left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left w:val="nil"/>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医疗保健</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体温、心率、血压、血糖监测，监控操运动用药等。</w:t>
            </w:r>
          </w:p>
        </w:tc>
        <w:tc>
          <w:tcPr>
            <w:tcW w:w="850"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1134"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c>
          <w:tcPr>
            <w:tcW w:w="1276" w:type="dxa"/>
            <w:vMerge w:val="continue"/>
            <w:tcBorders>
              <w:left w:val="nil"/>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rPr>
          <w:trHeight w:val="495" w:hRule="atLeast"/>
        </w:trPr>
        <w:tc>
          <w:tcPr>
            <w:tcW w:w="717" w:type="dxa"/>
            <w:vMerge w:val="continue"/>
            <w:tcBorders>
              <w:left w:val="single" w:color="000000" w:sz="4" w:space="0"/>
              <w:bottom w:val="single" w:color="000000" w:sz="4" w:space="0"/>
              <w:right w:val="single" w:color="000000" w:sz="4" w:space="0"/>
            </w:tcBorders>
            <w:shd w:val="clear" w:color="auto" w:fill="auto"/>
            <w:tcMar>
              <w:top w:w="75" w:type="dxa"/>
              <w:left w:w="150" w:type="dxa"/>
              <w:bottom w:w="75" w:type="dxa"/>
              <w:right w:w="150" w:type="dxa"/>
            </w:tcMar>
          </w:tcPr>
          <w:p>
            <w:pPr>
              <w:spacing w:line="280" w:lineRule="exact"/>
              <w:rPr>
                <w:rFonts w:ascii="仿宋_GB2312" w:eastAsia="仿宋_GB2312"/>
                <w:color w:val="auto"/>
                <w:sz w:val="24"/>
              </w:rPr>
            </w:pPr>
          </w:p>
        </w:tc>
        <w:tc>
          <w:tcPr>
            <w:tcW w:w="851"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夜间住宿</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spacing w:val="15"/>
              </w:rPr>
              <w:t>提供床位</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jc w:val="both"/>
              <w:rPr>
                <w:rFonts w:ascii="仿宋_GB2312" w:eastAsia="仿宋_GB2312"/>
                <w:color w:val="auto"/>
              </w:rPr>
            </w:pPr>
            <w:r>
              <w:rPr>
                <w:rFonts w:hint="eastAsia" w:ascii="仿宋_GB2312" w:eastAsia="仿宋_GB2312"/>
                <w:color w:val="auto"/>
                <w:spacing w:val="15"/>
              </w:rPr>
              <w:t>床位数</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center"/>
              <w:textAlignment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1276" w:type="dxa"/>
            <w:vMerge w:val="continue"/>
            <w:tcBorders>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p>
        </w:tc>
      </w:tr>
      <w:tr>
        <w:tblPrEx>
          <w:tblBorders>
            <w:top w:val="single" w:color="000000" w:sz="6" w:space="0"/>
            <w:left w:val="single" w:color="000000" w:sz="6" w:space="0"/>
            <w:bottom w:val="none" w:color="auto" w:sz="0" w:space="0"/>
            <w:right w:val="none" w:color="auto" w:sz="0" w:space="0"/>
            <w:insideH w:val="none" w:color="auto" w:sz="0" w:space="0"/>
            <w:insideV w:val="none" w:color="auto" w:sz="0" w:space="0"/>
          </w:tblBorders>
          <w:tblCellMar>
            <w:top w:w="0" w:type="dxa"/>
            <w:left w:w="105" w:type="dxa"/>
            <w:bottom w:w="0" w:type="dxa"/>
            <w:right w:w="105" w:type="dxa"/>
          </w:tblCellMar>
        </w:tblPrEx>
        <w:tc>
          <w:tcPr>
            <w:tcW w:w="717" w:type="dxa"/>
            <w:tcBorders>
              <w:top w:val="single" w:color="000000" w:sz="4" w:space="0"/>
              <w:left w:val="single" w:color="000000" w:sz="4" w:space="0"/>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jc w:val="center"/>
              <w:rPr>
                <w:rFonts w:ascii="仿宋_GB2312" w:eastAsia="仿宋_GB2312"/>
                <w:color w:val="auto"/>
                <w:sz w:val="24"/>
              </w:rPr>
            </w:pPr>
            <w:r>
              <w:rPr>
                <w:rFonts w:hint="eastAsia" w:ascii="仿宋_GB2312" w:eastAsia="仿宋_GB2312"/>
                <w:color w:val="auto"/>
                <w:sz w:val="24"/>
              </w:rPr>
              <w:t>14</w:t>
            </w:r>
          </w:p>
        </w:tc>
        <w:tc>
          <w:tcPr>
            <w:tcW w:w="851"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r>
              <w:rPr>
                <w:rFonts w:hint="eastAsia" w:ascii="仿宋_GB2312" w:eastAsia="仿宋_GB2312"/>
                <w:color w:val="auto"/>
                <w:sz w:val="24"/>
              </w:rPr>
              <w:t>家庭养老床位</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spacing w:val="-20"/>
              </w:rPr>
            </w:pPr>
            <w:r>
              <w:rPr>
                <w:rFonts w:hint="eastAsia" w:ascii="仿宋_GB2312" w:eastAsia="仿宋_GB2312"/>
                <w:color w:val="auto"/>
                <w:spacing w:val="-20"/>
              </w:rPr>
              <w:t>家庭养老床位建设及服务</w:t>
            </w:r>
          </w:p>
        </w:tc>
        <w:tc>
          <w:tcPr>
            <w:tcW w:w="368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pStyle w:val="5"/>
              <w:widowControl/>
              <w:spacing w:beforeAutospacing="0" w:afterAutospacing="0" w:line="280" w:lineRule="exact"/>
              <w:rPr>
                <w:rFonts w:ascii="仿宋_GB2312" w:eastAsia="仿宋_GB2312"/>
                <w:color w:val="auto"/>
              </w:rPr>
            </w:pPr>
            <w:r>
              <w:rPr>
                <w:rFonts w:hint="eastAsia" w:ascii="仿宋_GB2312" w:eastAsia="仿宋_GB2312"/>
                <w:color w:val="auto"/>
              </w:rPr>
              <w:t>对辖区内户籍有需求的长者，提供适老化和智能化家居改造，并为长者上门提供专业化养老服务。为有专业养老服务需求的居家老年人进行必要的适老化和智能化家居改造，纳入每天24小时动态管理和远程监护，并根据需求提供紧急援助、生活照料、康复护理等与床位相配套的全天候、全方位居家照顾服务；（一是中心需自行完善服务主体：1.在民政部门依法备案的养老服务机构和登记注册的居家养老服务社会组织，具备配餐、日托、上门服务、护理服务和24小时服务能力的社区养老服务机构，服务半径范围不超过15分钟。2.配有家庭养老床位管理和服务功能的信息化系统，服务机构做到统一评估、统一协议、统一服务流程、统一人员调度，并组建家庭养老床位专用团队，且服务需求及转介纳入越秀区智慧养老服务枢纽平台调度管理。3.具有较强的整体服务能力，能够完整地承担家庭养老床位的全部服务；能提供完整的服务团队，包括护士、护理员、康复师等，有条件的机构可配备医生；应具备医疗资源，有护理站或与医疗机构签订服务协议。二是服务内容和标准需按越秀区民政局关于印发《越秀区家庭养老床位试点工作实施方案》的通知越民[2019]96号执行。三是中心可与区民政局委托的符合资质的养老服务机构合作建设家庭养老床位。</w:t>
            </w:r>
          </w:p>
        </w:tc>
        <w:tc>
          <w:tcPr>
            <w:tcW w:w="850"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spacing w:line="280" w:lineRule="exact"/>
              <w:rPr>
                <w:rFonts w:ascii="仿宋_GB2312" w:eastAsia="仿宋_GB2312"/>
                <w:color w:val="auto"/>
                <w:sz w:val="24"/>
              </w:rPr>
            </w:pPr>
            <w:r>
              <w:rPr>
                <w:rFonts w:hint="eastAsia" w:ascii="仿宋_GB2312" w:eastAsia="仿宋_GB2312"/>
                <w:color w:val="auto"/>
                <w:sz w:val="24"/>
              </w:rPr>
              <w:t>家庭建床床位数</w:t>
            </w:r>
          </w:p>
        </w:tc>
        <w:tc>
          <w:tcPr>
            <w:tcW w:w="1134"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left"/>
              <w:textAlignment w:val="center"/>
              <w:rPr>
                <w:rFonts w:ascii="仿宋_GB2312" w:eastAsia="仿宋_GB2312"/>
                <w:color w:val="auto"/>
                <w:sz w:val="24"/>
              </w:rPr>
            </w:pPr>
            <w:r>
              <w:rPr>
                <w:rFonts w:hint="eastAsia" w:ascii="仿宋_GB2312" w:eastAsia="仿宋_GB2312"/>
                <w:color w:val="auto"/>
                <w:sz w:val="24"/>
              </w:rPr>
              <w:t>新建</w:t>
            </w:r>
            <w:r>
              <w:rPr>
                <w:rFonts w:hint="eastAsia" w:ascii="仿宋_GB2312" w:eastAsia="仿宋_GB2312"/>
                <w:color w:val="auto"/>
                <w:sz w:val="24"/>
                <w:lang w:val="en-US" w:eastAsia="zh-CN"/>
              </w:rPr>
              <w:t>19</w:t>
            </w:r>
            <w:r>
              <w:rPr>
                <w:rFonts w:hint="eastAsia" w:ascii="仿宋_GB2312" w:eastAsia="仿宋_GB2312"/>
                <w:color w:val="auto"/>
                <w:sz w:val="24"/>
              </w:rPr>
              <w:t>张</w:t>
            </w:r>
          </w:p>
        </w:tc>
        <w:tc>
          <w:tcPr>
            <w:tcW w:w="1276" w:type="dxa"/>
            <w:tcBorders>
              <w:top w:val="single" w:color="000000" w:sz="4" w:space="0"/>
              <w:left w:val="nil"/>
              <w:bottom w:val="single" w:color="000000" w:sz="4" w:space="0"/>
              <w:right w:val="single" w:color="000000" w:sz="4" w:space="0"/>
            </w:tcBorders>
            <w:shd w:val="clear" w:color="auto" w:fill="auto"/>
            <w:tcMar>
              <w:top w:w="75" w:type="dxa"/>
              <w:left w:w="150" w:type="dxa"/>
              <w:bottom w:w="75" w:type="dxa"/>
              <w:right w:w="150" w:type="dxa"/>
            </w:tcMar>
            <w:vAlign w:val="center"/>
          </w:tcPr>
          <w:p>
            <w:pPr>
              <w:widowControl/>
              <w:spacing w:line="280" w:lineRule="exact"/>
              <w:jc w:val="center"/>
              <w:textAlignment w:val="center"/>
              <w:rPr>
                <w:rFonts w:ascii="仿宋_GB2312" w:eastAsia="仿宋_GB2312"/>
                <w:color w:val="auto"/>
                <w:spacing w:val="-20"/>
                <w:sz w:val="24"/>
              </w:rPr>
            </w:pPr>
            <w:r>
              <w:rPr>
                <w:rFonts w:hint="eastAsia" w:ascii="仿宋_GB2312" w:eastAsia="仿宋_GB2312"/>
                <w:color w:val="auto"/>
                <w:spacing w:val="-20"/>
                <w:sz w:val="24"/>
              </w:rPr>
              <w:t>按照《2023年越秀区各街道养老重点工作任务指标一览表 (正式版)》要求完成相应年度指标。</w:t>
            </w:r>
          </w:p>
        </w:tc>
      </w:tr>
    </w:tbl>
    <w:p>
      <w:pPr>
        <w:pStyle w:val="5"/>
        <w:widowControl/>
        <w:spacing w:beforeAutospacing="0" w:afterAutospacing="0" w:line="500" w:lineRule="exact"/>
        <w:ind w:firstLine="420"/>
        <w:rPr>
          <w:rFonts w:hint="eastAsia" w:ascii="仿宋_GB2312" w:hAnsi="宋体" w:eastAsia="仿宋_GB2312" w:cs="宋体"/>
          <w:color w:val="auto"/>
          <w:shd w:val="clear" w:color="auto" w:fill="FFFFFF"/>
        </w:rPr>
      </w:pPr>
    </w:p>
    <w:tbl>
      <w:tblPr>
        <w:tblStyle w:val="7"/>
        <w:tblpPr w:leftFromText="180" w:rightFromText="180" w:vertAnchor="text" w:tblpX="12134" w:tblpY="25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pStyle w:val="5"/>
              <w:widowControl/>
              <w:spacing w:beforeAutospacing="0" w:afterAutospacing="0" w:line="500" w:lineRule="exact"/>
              <w:rPr>
                <w:rFonts w:hint="eastAsia" w:ascii="仿宋_GB2312" w:hAnsi="宋体" w:eastAsia="仿宋_GB2312" w:cs="宋体"/>
                <w:color w:val="auto"/>
                <w:shd w:val="clear" w:color="auto" w:fill="FFFFFF"/>
                <w:vertAlign w:val="baseline"/>
              </w:rPr>
            </w:pPr>
          </w:p>
        </w:tc>
      </w:tr>
    </w:tbl>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工时计算：(1)个人</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总工时=8小时/天*</w:t>
      </w:r>
      <w:r>
        <w:rPr>
          <w:rFonts w:hint="eastAsia" w:ascii="仿宋_GB2312" w:hAnsi="宋体" w:eastAsia="仿宋_GB2312" w:cs="宋体"/>
          <w:color w:val="auto"/>
          <w:shd w:val="clear" w:color="auto" w:fill="FFFFFF"/>
          <w:lang w:val="en-US" w:eastAsia="zh-CN"/>
        </w:rPr>
        <w:t>82</w:t>
      </w:r>
      <w:r>
        <w:rPr>
          <w:rFonts w:hint="eastAsia" w:ascii="仿宋_GB2312" w:hAnsi="宋体" w:eastAsia="仿宋_GB2312" w:cs="宋体"/>
          <w:color w:val="auto"/>
          <w:shd w:val="clear" w:color="auto" w:fill="FFFFFF"/>
        </w:rPr>
        <w:t>天=</w:t>
      </w:r>
      <w:r>
        <w:rPr>
          <w:rFonts w:hint="eastAsia" w:ascii="仿宋_GB2312" w:hAnsi="宋体" w:eastAsia="仿宋_GB2312" w:cs="宋体"/>
          <w:color w:val="auto"/>
          <w:shd w:val="clear" w:color="auto" w:fill="FFFFFF"/>
          <w:lang w:val="en-US" w:eastAsia="zh-CN"/>
        </w:rPr>
        <w:t>656</w:t>
      </w:r>
      <w:r>
        <w:rPr>
          <w:rFonts w:hint="eastAsia" w:ascii="仿宋_GB2312" w:hAnsi="宋体" w:eastAsia="仿宋_GB2312" w:cs="宋体"/>
          <w:color w:val="auto"/>
          <w:shd w:val="clear" w:color="auto" w:fill="FFFFFF"/>
        </w:rPr>
        <w:t>小时；（2）项目专业服务</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总工时=</w:t>
      </w:r>
      <w:r>
        <w:rPr>
          <w:rFonts w:hint="eastAsia" w:ascii="仿宋_GB2312" w:hAnsi="宋体" w:eastAsia="仿宋_GB2312" w:cs="宋体"/>
          <w:color w:val="auto"/>
          <w:shd w:val="clear" w:color="auto" w:fill="FFFFFF"/>
          <w:lang w:val="en-US" w:eastAsia="zh-CN"/>
        </w:rPr>
        <w:t>656</w:t>
      </w:r>
      <w:r>
        <w:rPr>
          <w:rFonts w:hint="eastAsia" w:ascii="仿宋_GB2312" w:hAnsi="宋体" w:eastAsia="仿宋_GB2312" w:cs="宋体"/>
          <w:color w:val="auto"/>
          <w:shd w:val="clear" w:color="auto" w:fill="FFFFFF"/>
        </w:rPr>
        <w:t>小时*</w:t>
      </w:r>
      <w:r>
        <w:rPr>
          <w:rFonts w:hint="eastAsia" w:ascii="仿宋_GB2312" w:hAnsi="宋体" w:eastAsia="仿宋_GB2312" w:cs="宋体"/>
          <w:color w:val="auto"/>
          <w:shd w:val="clear" w:color="auto" w:fill="FFFFFF"/>
          <w:lang w:val="en-US" w:eastAsia="zh-CN"/>
        </w:rPr>
        <w:t>7</w:t>
      </w:r>
      <w:r>
        <w:rPr>
          <w:rFonts w:hint="eastAsia" w:ascii="仿宋_GB2312" w:hAnsi="宋体" w:eastAsia="仿宋_GB2312" w:cs="宋体"/>
          <w:color w:val="auto"/>
          <w:shd w:val="clear" w:color="auto" w:fill="FFFFFF"/>
        </w:rPr>
        <w:t>人=</w:t>
      </w:r>
      <w:r>
        <w:rPr>
          <w:rFonts w:hint="eastAsia" w:ascii="仿宋_GB2312" w:hAnsi="宋体" w:eastAsia="仿宋_GB2312" w:cs="宋体"/>
          <w:color w:val="auto"/>
          <w:shd w:val="clear" w:color="auto" w:fill="FFFFFF"/>
          <w:lang w:val="en-US" w:eastAsia="zh-CN"/>
        </w:rPr>
        <w:t>4592</w:t>
      </w:r>
      <w:r>
        <w:rPr>
          <w:rFonts w:hint="eastAsia" w:ascii="仿宋_GB2312" w:hAnsi="宋体" w:eastAsia="仿宋_GB2312" w:cs="宋体"/>
          <w:color w:val="auto"/>
          <w:shd w:val="clear" w:color="auto" w:fill="FFFFFF"/>
        </w:rPr>
        <w:t>小时；（3）个人</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间接服务工时=</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会议时数+</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培训时数=2小时/周*</w:t>
      </w:r>
      <w:r>
        <w:rPr>
          <w:rFonts w:hint="eastAsia" w:ascii="仿宋_GB2312" w:hAnsi="宋体" w:eastAsia="仿宋_GB2312" w:cs="宋体"/>
          <w:color w:val="auto"/>
          <w:shd w:val="clear" w:color="auto" w:fill="FFFFFF"/>
          <w:lang w:val="en-US" w:eastAsia="zh-CN"/>
        </w:rPr>
        <w:t>17</w:t>
      </w:r>
      <w:r>
        <w:rPr>
          <w:rFonts w:hint="eastAsia" w:ascii="仿宋_GB2312" w:hAnsi="宋体" w:eastAsia="仿宋_GB2312" w:cs="宋体"/>
          <w:color w:val="auto"/>
          <w:shd w:val="clear" w:color="auto" w:fill="FFFFFF"/>
        </w:rPr>
        <w:t>周+</w:t>
      </w:r>
      <w:r>
        <w:rPr>
          <w:rFonts w:hint="eastAsia" w:ascii="仿宋_GB2312" w:hAnsi="宋体" w:eastAsia="仿宋_GB2312" w:cs="宋体"/>
          <w:color w:val="auto"/>
          <w:shd w:val="clear" w:color="auto" w:fill="FFFFFF"/>
          <w:lang w:val="en-US" w:eastAsia="zh-CN"/>
        </w:rPr>
        <w:t>5</w:t>
      </w:r>
      <w:r>
        <w:rPr>
          <w:rFonts w:hint="eastAsia" w:ascii="仿宋_GB2312" w:hAnsi="宋体" w:eastAsia="仿宋_GB2312" w:cs="宋体"/>
          <w:color w:val="auto"/>
          <w:shd w:val="clear" w:color="auto" w:fill="FFFFFF"/>
        </w:rPr>
        <w:t>小时=</w:t>
      </w:r>
      <w:r>
        <w:rPr>
          <w:rFonts w:hint="eastAsia" w:ascii="仿宋_GB2312" w:hAnsi="宋体" w:eastAsia="仿宋_GB2312" w:cs="宋体"/>
          <w:color w:val="auto"/>
          <w:shd w:val="clear" w:color="auto" w:fill="FFFFFF"/>
          <w:lang w:val="en-US" w:eastAsia="zh-CN"/>
        </w:rPr>
        <w:t>39</w:t>
      </w:r>
      <w:r>
        <w:rPr>
          <w:rFonts w:hint="eastAsia" w:ascii="仿宋_GB2312" w:hAnsi="宋体" w:eastAsia="仿宋_GB2312" w:cs="宋体"/>
          <w:color w:val="auto"/>
          <w:shd w:val="clear" w:color="auto" w:fill="FFFFFF"/>
        </w:rPr>
        <w:t>小时；（4）项目</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直接服务工时=项目专业服务</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总工时</w:t>
      </w:r>
      <w:r>
        <w:rPr>
          <w:rFonts w:hint="eastAsia" w:ascii="仿宋_GB2312" w:hAnsi="宋体" w:eastAsia="宋体" w:cs="宋体"/>
          <w:color w:val="auto"/>
          <w:shd w:val="clear" w:color="auto" w:fill="FFFFFF"/>
        </w:rPr>
        <w:t>﹣</w:t>
      </w:r>
      <w:r>
        <w:rPr>
          <w:rFonts w:hint="eastAsia" w:ascii="仿宋_GB2312" w:hAnsi="宋体" w:eastAsia="仿宋_GB2312" w:cs="宋体"/>
          <w:color w:val="auto"/>
          <w:shd w:val="clear" w:color="auto" w:fill="FFFFFF"/>
        </w:rPr>
        <w:t>项目</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间接服务工时</w:t>
      </w:r>
      <w:r>
        <w:rPr>
          <w:rFonts w:hint="eastAsia" w:ascii="仿宋_GB2312" w:hAnsi="宋体" w:eastAsia="宋体" w:cs="宋体"/>
          <w:color w:val="auto"/>
          <w:shd w:val="clear" w:color="auto" w:fill="FFFFFF"/>
        </w:rPr>
        <w:t>﹣</w:t>
      </w:r>
      <w:r>
        <w:rPr>
          <w:rFonts w:hint="eastAsia" w:ascii="仿宋_GB2312" w:hAnsi="宋体" w:eastAsia="仿宋_GB2312" w:cs="宋体"/>
          <w:color w:val="auto"/>
          <w:shd w:val="clear" w:color="auto" w:fill="FFFFFF"/>
        </w:rPr>
        <w:t>1名预留员工</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服务工时=</w:t>
      </w:r>
      <w:r>
        <w:rPr>
          <w:rFonts w:hint="eastAsia" w:ascii="仿宋_GB2312" w:hAnsi="宋体" w:eastAsia="仿宋_GB2312" w:cs="宋体"/>
          <w:color w:val="auto"/>
          <w:shd w:val="clear" w:color="auto" w:fill="FFFFFF"/>
          <w:lang w:val="en-US" w:eastAsia="zh-CN"/>
        </w:rPr>
        <w:t>4592</w:t>
      </w:r>
      <w:r>
        <w:rPr>
          <w:rFonts w:hint="eastAsia" w:ascii="仿宋_GB2312" w:hAnsi="宋体" w:eastAsia="宋体" w:cs="宋体"/>
          <w:color w:val="auto"/>
          <w:shd w:val="clear" w:color="auto" w:fill="FFFFFF"/>
        </w:rPr>
        <w:t>﹣</w:t>
      </w:r>
      <w:r>
        <w:rPr>
          <w:rFonts w:hint="eastAsia" w:ascii="仿宋_GB2312" w:hAnsi="宋体" w:eastAsia="仿宋_GB2312" w:cs="宋体"/>
          <w:color w:val="auto"/>
          <w:shd w:val="clear" w:color="auto" w:fill="FFFFFF"/>
          <w:lang w:val="en-US" w:eastAsia="zh-CN"/>
        </w:rPr>
        <w:t>39</w:t>
      </w:r>
      <w:r>
        <w:rPr>
          <w:rFonts w:hint="eastAsia" w:ascii="仿宋_GB2312" w:hAnsi="宋体" w:eastAsia="仿宋_GB2312" w:cs="宋体"/>
          <w:color w:val="auto"/>
          <w:shd w:val="clear" w:color="auto" w:fill="FFFFFF"/>
        </w:rPr>
        <w:t>*</w:t>
      </w:r>
      <w:r>
        <w:rPr>
          <w:rFonts w:hint="eastAsia" w:ascii="仿宋_GB2312" w:hAnsi="宋体" w:eastAsia="仿宋_GB2312" w:cs="宋体"/>
          <w:color w:val="auto"/>
          <w:shd w:val="clear" w:color="auto" w:fill="FFFFFF"/>
          <w:lang w:val="en-US" w:eastAsia="zh-CN"/>
        </w:rPr>
        <w:t>7</w:t>
      </w:r>
      <w:r>
        <w:rPr>
          <w:rFonts w:hint="eastAsia" w:ascii="仿宋_GB2312" w:hAnsi="宋体" w:eastAsia="宋体" w:cs="宋体"/>
          <w:color w:val="auto"/>
          <w:shd w:val="clear" w:color="auto" w:fill="FFFFFF"/>
        </w:rPr>
        <w:t>﹣</w:t>
      </w:r>
      <w:r>
        <w:rPr>
          <w:rFonts w:hint="eastAsia" w:ascii="仿宋_GB2312" w:hAnsi="宋体" w:eastAsia="仿宋_GB2312" w:cs="宋体"/>
          <w:color w:val="auto"/>
          <w:shd w:val="clear" w:color="auto" w:fill="FFFFFF"/>
          <w:lang w:val="en-US" w:eastAsia="zh-CN"/>
        </w:rPr>
        <w:t>656</w:t>
      </w:r>
      <w:r>
        <w:rPr>
          <w:rFonts w:hint="eastAsia" w:ascii="仿宋_GB2312" w:hAnsi="宋体" w:eastAsia="仿宋_GB2312" w:cs="宋体"/>
          <w:color w:val="auto"/>
          <w:shd w:val="clear" w:color="auto" w:fill="FFFFFF"/>
        </w:rPr>
        <w:t>=</w:t>
      </w:r>
      <w:r>
        <w:rPr>
          <w:rFonts w:hint="eastAsia" w:ascii="仿宋_GB2312" w:hAnsi="宋体" w:eastAsia="仿宋_GB2312" w:cs="宋体"/>
          <w:color w:val="auto"/>
          <w:shd w:val="clear" w:color="auto" w:fill="FFFFFF"/>
          <w:lang w:val="en-US" w:eastAsia="zh-CN"/>
        </w:rPr>
        <w:t>3663</w:t>
      </w:r>
      <w:r>
        <w:rPr>
          <w:rFonts w:hint="eastAsia" w:ascii="仿宋_GB2312" w:hAnsi="宋体" w:eastAsia="仿宋_GB2312" w:cs="宋体"/>
          <w:color w:val="auto"/>
          <w:shd w:val="clear" w:color="auto" w:fill="FFFFFF"/>
          <w:lang w:eastAsia="zh-CN"/>
        </w:rPr>
        <w:t>小</w:t>
      </w:r>
      <w:r>
        <w:rPr>
          <w:rFonts w:hint="eastAsia" w:ascii="仿宋_GB2312" w:hAnsi="宋体" w:eastAsia="仿宋_GB2312" w:cs="宋体"/>
          <w:color w:val="auto"/>
          <w:shd w:val="clear" w:color="auto" w:fill="FFFFFF"/>
        </w:rPr>
        <w:t>时；（5）项目</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最低服务工时=项目</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直接服务工时=</w:t>
      </w:r>
      <w:r>
        <w:rPr>
          <w:rFonts w:hint="eastAsia" w:ascii="仿宋_GB2312" w:hAnsi="宋体" w:eastAsia="仿宋_GB2312" w:cs="宋体"/>
          <w:color w:val="auto"/>
          <w:shd w:val="clear" w:color="auto" w:fill="FFFFFF"/>
          <w:lang w:val="en-US" w:eastAsia="zh-CN"/>
        </w:rPr>
        <w:t>3663</w:t>
      </w:r>
      <w:r>
        <w:rPr>
          <w:rFonts w:hint="eastAsia" w:ascii="仿宋_GB2312" w:hAnsi="宋体" w:eastAsia="仿宋_GB2312" w:cs="宋体"/>
          <w:color w:val="auto"/>
          <w:shd w:val="clear" w:color="auto" w:fill="FFFFFF"/>
        </w:rPr>
        <w:t>小时；项目</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最高服务工时=项目专业服务</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总工时×110%=</w:t>
      </w:r>
      <w:r>
        <w:rPr>
          <w:rFonts w:hint="eastAsia" w:ascii="仿宋_GB2312" w:hAnsi="宋体" w:eastAsia="仿宋_GB2312" w:cs="宋体"/>
          <w:color w:val="auto"/>
          <w:shd w:val="clear" w:color="auto" w:fill="FFFFFF"/>
          <w:lang w:val="en-US" w:eastAsia="zh-CN"/>
        </w:rPr>
        <w:t>4592</w:t>
      </w:r>
      <w:r>
        <w:rPr>
          <w:rFonts w:hint="eastAsia" w:ascii="仿宋_GB2312" w:hAnsi="宋体" w:eastAsia="仿宋_GB2312" w:cs="宋体"/>
          <w:color w:val="auto"/>
          <w:shd w:val="clear" w:color="auto" w:fill="FFFFFF"/>
        </w:rPr>
        <w:t>×110%=</w:t>
      </w:r>
      <w:r>
        <w:rPr>
          <w:rFonts w:hint="eastAsia" w:ascii="仿宋_GB2312" w:hAnsi="宋体" w:eastAsia="仿宋_GB2312" w:cs="宋体"/>
          <w:color w:val="auto"/>
          <w:shd w:val="clear" w:color="auto" w:fill="FFFFFF"/>
          <w:lang w:val="en-US" w:eastAsia="zh-CN"/>
        </w:rPr>
        <w:t>5051</w:t>
      </w:r>
      <w:r>
        <w:rPr>
          <w:rFonts w:hint="eastAsia" w:ascii="仿宋_GB2312" w:hAnsi="宋体" w:eastAsia="仿宋_GB2312" w:cs="宋体"/>
          <w:color w:val="auto"/>
          <w:shd w:val="clear" w:color="auto" w:fill="FFFFFF"/>
        </w:rPr>
        <w:t>小时。</w:t>
      </w:r>
    </w:p>
    <w:p>
      <w:pPr>
        <w:pStyle w:val="5"/>
        <w:widowControl/>
        <w:spacing w:beforeAutospacing="0" w:afterAutospacing="0" w:line="500" w:lineRule="exact"/>
        <w:ind w:firstLine="540" w:firstLineChars="225"/>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服务工时可采用综合定额方式计算，其中生活照料、助餐配餐、康复护理、医疗保健、日间托管等5项服务的工时合计不少于</w:t>
      </w:r>
      <w:r>
        <w:rPr>
          <w:rFonts w:hint="eastAsia" w:ascii="仿宋_GB2312" w:hAnsi="宋体" w:eastAsia="仿宋_GB2312" w:cs="宋体"/>
          <w:color w:val="auto"/>
          <w:shd w:val="clear" w:color="auto" w:fill="FFFFFF"/>
          <w:lang w:val="en-US" w:eastAsia="zh-CN"/>
        </w:rPr>
        <w:t>合同期</w:t>
      </w:r>
      <w:r>
        <w:rPr>
          <w:rFonts w:hint="eastAsia" w:ascii="仿宋_GB2312" w:hAnsi="宋体" w:eastAsia="仿宋_GB2312" w:cs="宋体"/>
          <w:color w:val="auto"/>
          <w:shd w:val="clear" w:color="auto" w:fill="FFFFFF"/>
        </w:rPr>
        <w:t>最低服务总工时的75%。）</w:t>
      </w:r>
    </w:p>
    <w:p>
      <w:pPr>
        <w:pStyle w:val="5"/>
        <w:widowControl/>
        <w:spacing w:beforeAutospacing="0" w:afterAutospacing="0" w:line="500" w:lineRule="exact"/>
        <w:ind w:firstLine="540" w:firstLineChars="225"/>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lang w:eastAsia="zh-CN"/>
        </w:rPr>
        <w:t>根</w:t>
      </w:r>
      <w:r>
        <w:rPr>
          <w:rFonts w:hint="eastAsia" w:ascii="仿宋_GB2312" w:hAnsi="宋体" w:eastAsia="仿宋_GB2312" w:cs="宋体"/>
          <w:color w:val="auto"/>
          <w:shd w:val="clear" w:color="auto" w:fill="FFFFFF"/>
        </w:rPr>
        <w:t>据上表各项服务指标如实在广州市</w:t>
      </w:r>
      <w:r>
        <w:rPr>
          <w:rFonts w:hint="eastAsia" w:ascii="仿宋_GB2312" w:hAnsi="宋体" w:eastAsia="仿宋_GB2312" w:cs="宋体"/>
          <w:color w:val="auto"/>
          <w:shd w:val="clear" w:color="auto" w:fill="FFFFFF"/>
          <w:lang w:eastAsia="zh-CN"/>
        </w:rPr>
        <w:t>为老服务综合</w:t>
      </w:r>
      <w:r>
        <w:rPr>
          <w:rFonts w:hint="eastAsia" w:ascii="仿宋_GB2312" w:hAnsi="宋体" w:eastAsia="仿宋_GB2312" w:cs="宋体"/>
          <w:color w:val="auto"/>
          <w:shd w:val="clear" w:color="auto" w:fill="FFFFFF"/>
        </w:rPr>
        <w:t>平台录入实际服务长者的工时。</w:t>
      </w:r>
    </w:p>
    <w:p>
      <w:pPr>
        <w:pStyle w:val="5"/>
        <w:widowControl/>
        <w:spacing w:beforeAutospacing="0" w:afterAutospacing="0" w:line="500" w:lineRule="exact"/>
        <w:ind w:firstLine="540" w:firstLineChars="225"/>
        <w:rPr>
          <w:rFonts w:ascii="黑体" w:hAnsi="黑体" w:eastAsia="黑体" w:cs="宋体"/>
          <w:color w:val="auto"/>
          <w:shd w:val="clear" w:color="auto" w:fill="FFFFFF"/>
        </w:rPr>
      </w:pPr>
      <w:r>
        <w:rPr>
          <w:rFonts w:hint="eastAsia" w:ascii="黑体" w:hAnsi="黑体" w:eastAsia="黑体" w:cs="宋体"/>
          <w:color w:val="auto"/>
          <w:shd w:val="clear" w:color="auto" w:fill="FFFFFF"/>
        </w:rPr>
        <w:t>三、服务机构和人员要求</w:t>
      </w:r>
    </w:p>
    <w:p>
      <w:pPr>
        <w:pStyle w:val="5"/>
        <w:widowControl/>
        <w:spacing w:beforeAutospacing="0" w:afterAutospacing="0" w:line="500" w:lineRule="exact"/>
        <w:ind w:firstLine="420"/>
        <w:rPr>
          <w:rFonts w:ascii="楷体_GB2312" w:eastAsia="楷体_GB2312"/>
          <w:color w:val="auto"/>
        </w:rPr>
      </w:pPr>
      <w:r>
        <w:rPr>
          <w:rFonts w:hint="eastAsia" w:ascii="楷体_GB2312" w:hAnsi="宋体" w:eastAsia="楷体_GB2312" w:cs="宋体"/>
          <w:bCs/>
          <w:color w:val="auto"/>
          <w:shd w:val="clear" w:color="auto" w:fill="FFFFFF"/>
        </w:rPr>
        <w:t>（一）服务机构要求</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1、服务机构</w:t>
      </w:r>
      <w:r>
        <w:rPr>
          <w:rFonts w:hint="eastAsia" w:ascii="仿宋_GB2312" w:hAnsi="宋体" w:eastAsia="仿宋_GB2312" w:cs="宋体"/>
          <w:color w:val="auto"/>
          <w:shd w:val="clear" w:color="auto" w:fill="FFFFFF"/>
          <w:lang w:eastAsia="zh-CN"/>
        </w:rPr>
        <w:t>需承诺</w:t>
      </w:r>
      <w:r>
        <w:rPr>
          <w:rFonts w:hint="eastAsia" w:ascii="仿宋_GB2312" w:hAnsi="宋体" w:eastAsia="仿宋_GB2312" w:cs="宋体"/>
          <w:color w:val="auto"/>
          <w:shd w:val="clear" w:color="auto" w:fill="FFFFFF"/>
        </w:rPr>
        <w:t>接受政府部门的监督管理，按照政府部门的要求开展服务。</w:t>
      </w:r>
    </w:p>
    <w:p>
      <w:pPr>
        <w:pStyle w:val="5"/>
        <w:widowControl/>
        <w:spacing w:beforeAutospacing="0" w:afterAutospacing="0" w:line="500" w:lineRule="exact"/>
        <w:ind w:firstLine="420"/>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2、按照合同等约定履行提供服务的义务，认真组织实施项目，按时完成项目任务，保证服务数量、质量和效果，主动接受有关部门、服务对象及社会监督，严禁服务机构将服务项目交由其他服务供应机构实际承担的转包行为。</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3、严格按照合同等约定使用服务设施，严禁擅自改变服务设施功能和用途，主动接受政府部门管理和指导，认真落实消防、环保、卫生、安全管理等相关法律法规要求，购买场所责任保险。</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4、提供医疗服务的应获得医疗机构执业许可证，提供餐饮服务的应获得食品经营许可证。</w:t>
      </w:r>
    </w:p>
    <w:p>
      <w:pPr>
        <w:pStyle w:val="5"/>
        <w:widowControl/>
        <w:spacing w:beforeAutospacing="0" w:afterAutospacing="0" w:line="500" w:lineRule="exact"/>
        <w:ind w:firstLine="420"/>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 xml:space="preserve">5、能有效管理社区居家养老服务相关文件和档案，真实完整记录并及时更新服务对象信息，保护个人信息安全，与服务对象的服务协议签约率及建档率达100%。   </w:t>
      </w:r>
    </w:p>
    <w:p>
      <w:pPr>
        <w:pStyle w:val="5"/>
        <w:widowControl/>
        <w:spacing w:beforeAutospacing="0" w:afterAutospacing="0" w:line="500" w:lineRule="exact"/>
        <w:ind w:firstLine="540" w:firstLineChars="225"/>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 xml:space="preserve">6、具有合理、详细的项目经费使用计划和预算明细，严格遵守相关财政财务规定，加强自身监督，确保政府购买服务项目资金规范管理和使用，并按要求                                                                     </w:t>
      </w:r>
    </w:p>
    <w:p>
      <w:pPr>
        <w:pStyle w:val="5"/>
        <w:widowControl/>
        <w:spacing w:beforeAutospacing="0" w:afterAutospacing="0" w:line="500" w:lineRule="exact"/>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及时向政府部门提供资金的使用情况、项目执行情况、成果总结等材料。</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7、建立服务风险防范制度，为工作人员购买人身意外保险。</w:t>
      </w:r>
    </w:p>
    <w:p>
      <w:pPr>
        <w:pStyle w:val="5"/>
        <w:widowControl/>
        <w:spacing w:beforeAutospacing="0" w:afterAutospacing="0" w:line="500" w:lineRule="exact"/>
        <w:ind w:firstLine="420"/>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8、建立完善的规章制度和工作流程，包括财务、人事、运营、公共安全、卫生、资产、服务等方面的管理制度和应急措施。</w:t>
      </w:r>
    </w:p>
    <w:p>
      <w:pPr>
        <w:pStyle w:val="5"/>
        <w:widowControl/>
        <w:spacing w:beforeAutospacing="0" w:afterAutospacing="0" w:line="500" w:lineRule="exact"/>
        <w:ind w:firstLine="420"/>
        <w:rPr>
          <w:rFonts w:hint="eastAsia" w:ascii="仿宋_GB2312" w:hAnsi="宋体" w:eastAsia="仿宋_GB2312" w:cs="宋体"/>
          <w:color w:val="auto"/>
          <w:shd w:val="clear" w:color="auto" w:fill="FFFFFF"/>
          <w:lang w:eastAsia="zh-CN"/>
        </w:rPr>
      </w:pPr>
      <w:r>
        <w:rPr>
          <w:rFonts w:hint="eastAsia" w:ascii="仿宋_GB2312" w:hAnsi="宋体" w:eastAsia="仿宋_GB2312" w:cs="宋体"/>
          <w:color w:val="auto"/>
          <w:shd w:val="clear" w:color="auto" w:fill="FFFFFF"/>
        </w:rPr>
        <w:t>9、在同等条件下，</w:t>
      </w:r>
      <w:r>
        <w:rPr>
          <w:rFonts w:ascii="仿宋_GB2312" w:hAnsi="宋体" w:eastAsia="仿宋_GB2312" w:cs="宋体"/>
          <w:color w:val="auto"/>
          <w:shd w:val="clear" w:color="auto" w:fill="FFFFFF"/>
        </w:rPr>
        <w:t>在辖区内有1000平米以上阵地的优先</w:t>
      </w:r>
      <w:r>
        <w:rPr>
          <w:rFonts w:hint="eastAsia" w:ascii="仿宋_GB2312" w:hAnsi="宋体" w:eastAsia="仿宋_GB2312" w:cs="宋体"/>
          <w:color w:val="auto"/>
          <w:shd w:val="clear" w:color="auto" w:fill="FFFFFF"/>
        </w:rPr>
        <w:t>。</w:t>
      </w:r>
    </w:p>
    <w:p>
      <w:pPr>
        <w:pStyle w:val="5"/>
        <w:widowControl/>
        <w:spacing w:beforeAutospacing="0" w:afterAutospacing="0" w:line="500" w:lineRule="exact"/>
        <w:ind w:firstLine="360" w:firstLineChars="150"/>
        <w:rPr>
          <w:rFonts w:ascii="楷体_GB2312" w:eastAsia="楷体_GB2312"/>
          <w:color w:val="auto"/>
        </w:rPr>
      </w:pPr>
      <w:r>
        <w:rPr>
          <w:rFonts w:hint="eastAsia" w:ascii="楷体_GB2312" w:hAnsi="宋体" w:eastAsia="楷体_GB2312" w:cs="宋体"/>
          <w:bCs/>
          <w:color w:val="auto"/>
          <w:shd w:val="clear" w:color="auto" w:fill="FFFFFF"/>
        </w:rPr>
        <w:t>（二）人员要求</w:t>
      </w:r>
    </w:p>
    <w:p>
      <w:pPr>
        <w:pStyle w:val="5"/>
        <w:widowControl/>
        <w:spacing w:beforeAutospacing="0" w:afterAutospacing="0" w:line="500" w:lineRule="exact"/>
        <w:ind w:firstLine="420"/>
        <w:rPr>
          <w:rFonts w:ascii="仿宋_GB2312" w:eastAsia="仿宋_GB2312"/>
          <w:color w:val="auto"/>
        </w:rPr>
      </w:pPr>
      <w:r>
        <w:rPr>
          <w:rFonts w:hint="eastAsia" w:ascii="宋体" w:hAnsi="宋体" w:eastAsia="宋体" w:cs="宋体"/>
          <w:b/>
          <w:bCs/>
          <w:color w:val="auto"/>
          <w:shd w:val="clear" w:color="auto" w:fill="FFFFFF"/>
        </w:rPr>
        <w:t>★</w:t>
      </w:r>
      <w:r>
        <w:rPr>
          <w:rFonts w:hint="eastAsia" w:ascii="仿宋_GB2312" w:hAnsi="宋体" w:eastAsia="仿宋_GB2312" w:cs="宋体"/>
          <w:bCs/>
          <w:color w:val="auto"/>
          <w:shd w:val="clear" w:color="auto" w:fill="FFFFFF"/>
        </w:rPr>
        <w:t>1、服务机构须为本项目配备不少于</w:t>
      </w:r>
      <w:r>
        <w:rPr>
          <w:rFonts w:hint="eastAsia" w:ascii="仿宋_GB2312" w:hAnsi="宋体" w:eastAsia="仿宋_GB2312" w:cs="宋体"/>
          <w:bCs/>
          <w:color w:val="auto"/>
          <w:shd w:val="clear" w:color="auto" w:fill="FFFFFF"/>
          <w:lang w:val="en-US" w:eastAsia="zh-CN"/>
        </w:rPr>
        <w:t>7</w:t>
      </w:r>
      <w:r>
        <w:rPr>
          <w:rFonts w:hint="eastAsia" w:ascii="仿宋_GB2312" w:hAnsi="宋体" w:eastAsia="仿宋_GB2312" w:cs="宋体"/>
          <w:bCs/>
          <w:color w:val="auto"/>
          <w:shd w:val="clear" w:color="auto" w:fill="FFFFFF"/>
        </w:rPr>
        <w:t>名专职工作人员，其中</w:t>
      </w:r>
      <w:r>
        <w:rPr>
          <w:rFonts w:hint="eastAsia" w:ascii="仿宋_GB2312" w:hAnsi="宋体" w:eastAsia="仿宋_GB2312" w:cs="宋体"/>
          <w:bCs/>
          <w:color w:val="auto"/>
          <w:shd w:val="clear" w:color="auto" w:fill="FFFFFF"/>
          <w:lang w:eastAsia="zh-CN"/>
        </w:rPr>
        <w:t>具有相应从业资格的</w:t>
      </w:r>
      <w:r>
        <w:rPr>
          <w:rFonts w:hint="eastAsia" w:ascii="仿宋_GB2312" w:hAnsi="宋体" w:eastAsia="仿宋_GB2312" w:cs="宋体"/>
          <w:bCs/>
          <w:color w:val="auto"/>
          <w:shd w:val="clear" w:color="auto" w:fill="FFFFFF"/>
        </w:rPr>
        <w:t>专职</w:t>
      </w:r>
      <w:r>
        <w:rPr>
          <w:rFonts w:hint="eastAsia" w:ascii="仿宋_GB2312" w:hAnsi="宋体" w:eastAsia="仿宋_GB2312" w:cs="宋体"/>
          <w:bCs/>
          <w:color w:val="auto"/>
          <w:shd w:val="clear" w:color="auto" w:fill="FFFFFF"/>
          <w:lang w:eastAsia="zh-CN"/>
        </w:rPr>
        <w:t>中心主任</w:t>
      </w:r>
      <w:r>
        <w:rPr>
          <w:rFonts w:hint="eastAsia" w:ascii="仿宋_GB2312" w:hAnsi="宋体" w:eastAsia="仿宋_GB2312" w:cs="宋体"/>
          <w:bCs/>
          <w:color w:val="auto"/>
          <w:shd w:val="clear" w:color="auto" w:fill="FFFFFF"/>
        </w:rPr>
        <w:t>1名，</w:t>
      </w:r>
      <w:r>
        <w:rPr>
          <w:rFonts w:hint="eastAsia" w:ascii="仿宋_GB2312" w:hAnsi="宋体" w:eastAsia="仿宋_GB2312" w:cs="宋体"/>
          <w:bCs/>
          <w:color w:val="auto"/>
          <w:shd w:val="clear" w:color="auto" w:fill="FFFFFF"/>
          <w:lang w:eastAsia="zh-CN"/>
        </w:rPr>
        <w:t>社会工作师</w:t>
      </w:r>
      <w:r>
        <w:rPr>
          <w:rFonts w:hint="eastAsia" w:ascii="仿宋_GB2312" w:hAnsi="宋体" w:eastAsia="仿宋_GB2312" w:cs="宋体"/>
          <w:bCs/>
          <w:color w:val="auto"/>
          <w:shd w:val="clear" w:color="auto" w:fill="FFFFFF"/>
          <w:lang w:val="en-US" w:eastAsia="zh-CN"/>
        </w:rPr>
        <w:t>1名，</w:t>
      </w:r>
      <w:r>
        <w:rPr>
          <w:rFonts w:hint="eastAsia" w:ascii="仿宋_GB2312" w:hAnsi="宋体" w:eastAsia="仿宋_GB2312" w:cs="宋体"/>
          <w:bCs/>
          <w:color w:val="auto"/>
          <w:shd w:val="clear" w:color="auto" w:fill="FFFFFF"/>
        </w:rPr>
        <w:t>执业医师</w:t>
      </w:r>
      <w:r>
        <w:rPr>
          <w:rFonts w:hint="eastAsia" w:ascii="仿宋_GB2312" w:hAnsi="宋体" w:eastAsia="仿宋_GB2312" w:cs="宋体"/>
          <w:bCs/>
          <w:color w:val="auto"/>
          <w:shd w:val="clear" w:color="auto" w:fill="FFFFFF"/>
          <w:lang w:eastAsia="zh-CN"/>
        </w:rPr>
        <w:t>或</w:t>
      </w:r>
      <w:r>
        <w:rPr>
          <w:rFonts w:hint="eastAsia" w:ascii="仿宋_GB2312" w:hAnsi="宋体" w:eastAsia="仿宋_GB2312" w:cs="宋体"/>
          <w:bCs/>
          <w:color w:val="auto"/>
          <w:shd w:val="clear" w:color="auto" w:fill="FFFFFF"/>
        </w:rPr>
        <w:t>执业护士</w:t>
      </w:r>
      <w:r>
        <w:rPr>
          <w:rFonts w:hint="eastAsia" w:ascii="仿宋_GB2312" w:hAnsi="宋体" w:eastAsia="仿宋_GB2312" w:cs="宋体"/>
          <w:bCs/>
          <w:color w:val="auto"/>
          <w:shd w:val="clear" w:color="auto" w:fill="FFFFFF"/>
          <w:lang w:val="en-US" w:eastAsia="zh-CN"/>
        </w:rPr>
        <w:t>1</w:t>
      </w:r>
      <w:r>
        <w:rPr>
          <w:rFonts w:hint="eastAsia" w:ascii="仿宋_GB2312" w:hAnsi="宋体" w:eastAsia="仿宋_GB2312" w:cs="宋体"/>
          <w:bCs/>
          <w:color w:val="auto"/>
          <w:shd w:val="clear" w:color="auto" w:fill="FFFFFF"/>
        </w:rPr>
        <w:t>名，康复治疗师1名，养老护理员</w:t>
      </w:r>
      <w:r>
        <w:rPr>
          <w:rFonts w:hint="eastAsia" w:ascii="仿宋_GB2312" w:hAnsi="宋体" w:eastAsia="仿宋_GB2312" w:cs="宋体"/>
          <w:bCs/>
          <w:color w:val="auto"/>
          <w:shd w:val="clear" w:color="auto" w:fill="FFFFFF"/>
          <w:lang w:val="en-US" w:eastAsia="zh-CN"/>
        </w:rPr>
        <w:t>2</w:t>
      </w:r>
      <w:r>
        <w:rPr>
          <w:rFonts w:hint="eastAsia" w:ascii="仿宋_GB2312" w:hAnsi="宋体" w:eastAsia="仿宋_GB2312" w:cs="宋体"/>
          <w:bCs/>
          <w:color w:val="auto"/>
          <w:shd w:val="clear" w:color="auto" w:fill="FFFFFF"/>
        </w:rPr>
        <w:t>名，</w:t>
      </w:r>
      <w:r>
        <w:rPr>
          <w:rFonts w:hint="eastAsia" w:ascii="仿宋_GB2312" w:hAnsi="宋体" w:eastAsia="仿宋_GB2312" w:cs="宋体"/>
          <w:bCs/>
          <w:color w:val="auto"/>
          <w:shd w:val="clear" w:color="auto" w:fill="FFFFFF"/>
          <w:lang w:eastAsia="zh-CN"/>
        </w:rPr>
        <w:t>其他工作人员</w:t>
      </w:r>
      <w:r>
        <w:rPr>
          <w:rFonts w:hint="eastAsia" w:ascii="仿宋_GB2312" w:hAnsi="宋体" w:eastAsia="仿宋_GB2312" w:cs="宋体"/>
          <w:bCs/>
          <w:color w:val="auto"/>
          <w:shd w:val="clear" w:color="auto" w:fill="FFFFFF"/>
          <w:lang w:val="en-US" w:eastAsia="zh-CN"/>
        </w:rPr>
        <w:t>1名</w:t>
      </w:r>
      <w:r>
        <w:rPr>
          <w:rFonts w:hint="eastAsia" w:ascii="仿宋_GB2312" w:hAnsi="宋体" w:eastAsia="仿宋_GB2312" w:cs="宋体"/>
          <w:bCs/>
          <w:color w:val="auto"/>
          <w:shd w:val="clear" w:color="auto" w:fill="FFFFFF"/>
        </w:rPr>
        <w:t>；服务机构承诺在服务期内必须保证投入的专职工作人员数量不能减少，服务期中如有人事变动问题，必须保证能达到投标时承诺投入的人员。</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2、提供上门生活照料服务的，保障上门服务人员与服务对象的比例不低于1:10。</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3、提供康复护理服务的，护理人员与服务对象的配备比例不低于1:10，护理人员应具有护理、康复治疗专业技术教育背景或从业资格。</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4、提供医疗保健类服务的，应配备执业医生、执业护士、康复治疗师等专业人员。</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5、应配备具有财会专业教育背景或持有财会职业资格证书的人员管理财务。</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6、服务机构应保证服务人员上岗前接受不少于10学时的岗前培训。</w:t>
      </w:r>
    </w:p>
    <w:p>
      <w:pPr>
        <w:pStyle w:val="5"/>
        <w:widowControl/>
        <w:spacing w:beforeAutospacing="0" w:afterAutospacing="0" w:line="500" w:lineRule="exact"/>
        <w:ind w:firstLine="420"/>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（三）服务要求</w:t>
      </w:r>
    </w:p>
    <w:p>
      <w:pPr>
        <w:pStyle w:val="5"/>
        <w:widowControl/>
        <w:spacing w:beforeAutospacing="0" w:afterAutospacing="0" w:line="500" w:lineRule="exact"/>
        <w:ind w:firstLine="420"/>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1、服务机构提供的居家养老服务项目应严格按照广州市</w:t>
      </w:r>
      <w:r>
        <w:rPr>
          <w:rFonts w:hint="eastAsia" w:ascii="仿宋_GB2312" w:hAnsi="宋体" w:eastAsia="仿宋_GB2312" w:cs="宋体"/>
          <w:color w:val="auto"/>
          <w:shd w:val="clear" w:color="auto" w:fill="FFFFFF"/>
          <w:lang w:eastAsia="zh-CN"/>
        </w:rPr>
        <w:t>、区</w:t>
      </w:r>
      <w:r>
        <w:rPr>
          <w:rFonts w:hint="eastAsia" w:ascii="仿宋_GB2312" w:hAnsi="宋体" w:eastAsia="仿宋_GB2312" w:cs="宋体"/>
          <w:color w:val="auto"/>
          <w:shd w:val="clear" w:color="auto" w:fill="FFFFFF"/>
        </w:rPr>
        <w:t>民政部门的相关政策法规和广州市地方标准《社区居家养老服务规范》的要求开展。提供的日间托老服务应严格按照（GB/T33168-2016）《社区老年人日间照料中心服务基本要求》、（GB/T33169-2016）《社区老年人日间照料中心设施设备配置》、（DBJ440100/T288-2017）《社区居家养老服务规范》的要求开展。托老机构每个工作日开放时间不得少于8小时。如遇突发情况，将作为应急庇护场所24小时对外开放。</w:t>
      </w:r>
    </w:p>
    <w:p>
      <w:pPr>
        <w:pStyle w:val="5"/>
        <w:widowControl/>
        <w:spacing w:beforeAutospacing="0" w:afterAutospacing="0" w:line="500" w:lineRule="exact"/>
        <w:ind w:firstLine="420"/>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社区大配餐服务需严格按照《广州市民政局广州市财政局广州市市场监督管理局关于印发广州市老年人助餐配餐服务管理办法的通知》（穗民规字〔2020〕15号）要求，结合实际情况进行开展。建立日常台账，接受街道每</w:t>
      </w:r>
      <w:r>
        <w:rPr>
          <w:rFonts w:hint="eastAsia" w:ascii="仿宋_GB2312" w:hAnsi="宋体" w:eastAsia="仿宋_GB2312" w:cs="宋体"/>
          <w:color w:val="auto"/>
          <w:shd w:val="clear" w:color="auto" w:fill="FFFFFF"/>
          <w:lang w:eastAsia="zh-CN"/>
        </w:rPr>
        <w:t>月</w:t>
      </w:r>
      <w:r>
        <w:rPr>
          <w:rFonts w:hint="eastAsia" w:ascii="仿宋_GB2312" w:hAnsi="宋体" w:eastAsia="仿宋_GB2312" w:cs="宋体"/>
          <w:color w:val="auto"/>
          <w:shd w:val="clear" w:color="auto" w:fill="FFFFFF"/>
        </w:rPr>
        <w:t>的抽查。如在助餐配餐过程中出现服务质量问题致使被居民</w:t>
      </w:r>
      <w:r>
        <w:rPr>
          <w:rFonts w:hint="eastAsia" w:ascii="仿宋_GB2312" w:hAnsi="宋体" w:eastAsia="仿宋_GB2312" w:cs="宋体"/>
          <w:color w:val="auto"/>
          <w:shd w:val="clear" w:color="auto" w:fill="FFFFFF"/>
          <w:lang w:eastAsia="zh-CN"/>
        </w:rPr>
        <w:t>有效</w:t>
      </w:r>
      <w:r>
        <w:rPr>
          <w:rFonts w:hint="eastAsia" w:ascii="仿宋_GB2312" w:hAnsi="宋体" w:eastAsia="仿宋_GB2312" w:cs="宋体"/>
          <w:color w:val="auto"/>
          <w:shd w:val="clear" w:color="auto" w:fill="FFFFFF"/>
        </w:rPr>
        <w:t>投诉</w:t>
      </w:r>
      <w:r>
        <w:rPr>
          <w:rFonts w:hint="eastAsia" w:ascii="仿宋_GB2312" w:hAnsi="宋体" w:eastAsia="仿宋_GB2312" w:cs="宋体"/>
          <w:color w:val="auto"/>
          <w:shd w:val="clear" w:color="auto" w:fill="FFFFFF"/>
          <w:lang w:eastAsia="zh-CN"/>
        </w:rPr>
        <w:t>的</w:t>
      </w:r>
      <w:r>
        <w:rPr>
          <w:rFonts w:hint="eastAsia" w:ascii="仿宋_GB2312" w:hAnsi="宋体" w:eastAsia="仿宋_GB2312" w:cs="宋体"/>
          <w:color w:val="auto"/>
          <w:shd w:val="clear" w:color="auto" w:fill="FFFFFF"/>
        </w:rPr>
        <w:t>，投诉意见将纳入考核范围。</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2、对辖区内老年人的服务覆盖率达到100%。</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3、能够根据服务对象的实际需求制订详细具体的服务方案，并做好服务记录、效果评估以及对服务对象的跟踪和回访。</w:t>
      </w:r>
    </w:p>
    <w:p>
      <w:pPr>
        <w:pStyle w:val="5"/>
        <w:widowControl/>
        <w:spacing w:beforeAutospacing="0" w:afterAutospacing="0" w:line="500" w:lineRule="exact"/>
        <w:ind w:left="359" w:leftChars="171" w:firstLine="60" w:firstLineChars="25"/>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4、服务项目完成率达到100%，服务对象满意率达到80%及以上。</w:t>
      </w:r>
    </w:p>
    <w:p>
      <w:pPr>
        <w:pStyle w:val="5"/>
        <w:widowControl/>
        <w:spacing w:beforeAutospacing="0" w:afterAutospacing="0" w:line="500" w:lineRule="exact"/>
        <w:ind w:left="359" w:leftChars="171" w:firstLine="60" w:firstLineChars="25"/>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5.服务人员应遵循职业操守，按规定开展服务。</w:t>
      </w:r>
    </w:p>
    <w:p>
      <w:pPr>
        <w:pStyle w:val="5"/>
        <w:widowControl/>
        <w:spacing w:beforeAutospacing="0" w:afterAutospacing="0" w:line="500" w:lineRule="exact"/>
        <w:ind w:left="359" w:leftChars="171" w:firstLine="60" w:firstLineChars="25"/>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（四）服务收费</w:t>
      </w:r>
    </w:p>
    <w:p>
      <w:pPr>
        <w:pStyle w:val="5"/>
        <w:widowControl/>
        <w:spacing w:beforeAutospacing="0" w:afterAutospacing="0" w:line="500" w:lineRule="exact"/>
        <w:ind w:firstLine="480" w:firstLineChars="200"/>
        <w:rPr>
          <w:rFonts w:hint="eastAsia"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服务机构开展的服务项目费用按照《广州市社区居家养老服务项目清单与指导参考价（试行）》（穗居家养老服务指导中心办〔2018〕6号）的要求执行，由街道（镇）与服务机构商定并进行公示</w:t>
      </w:r>
      <w:r>
        <w:rPr>
          <w:rFonts w:hint="eastAsia" w:ascii="仿宋_GB2312" w:hAnsi="宋体" w:eastAsia="仿宋_GB2312" w:cs="宋体"/>
          <w:color w:val="auto"/>
          <w:shd w:val="clear" w:color="auto" w:fill="FFFFFF"/>
          <w:lang w:eastAsia="zh-CN"/>
        </w:rPr>
        <w:t>。其中</w:t>
      </w:r>
      <w:r>
        <w:rPr>
          <w:rFonts w:hint="eastAsia" w:ascii="仿宋_GB2312" w:hAnsi="宋体" w:eastAsia="仿宋_GB2312" w:cs="宋体"/>
          <w:color w:val="auto"/>
          <w:shd w:val="clear" w:color="auto" w:fill="FFFFFF"/>
        </w:rPr>
        <w:t>全托、家庭养老床位等基本养老服务每月最高收费（不含特需照护）不高于上年度人均可支配收入的1.3倍</w:t>
      </w:r>
    </w:p>
    <w:p>
      <w:pPr>
        <w:pStyle w:val="5"/>
        <w:widowControl/>
        <w:spacing w:beforeAutospacing="0" w:afterAutospacing="0" w:line="500" w:lineRule="exact"/>
        <w:ind w:firstLine="480" w:firstLineChars="200"/>
        <w:rPr>
          <w:rFonts w:ascii="黑体" w:hAnsi="黑体" w:eastAsia="黑体"/>
          <w:color w:val="auto"/>
        </w:rPr>
      </w:pPr>
      <w:r>
        <w:rPr>
          <w:rFonts w:hint="eastAsia" w:ascii="黑体" w:hAnsi="黑体" w:eastAsia="黑体" w:cs="宋体"/>
          <w:bCs/>
          <w:color w:val="auto"/>
          <w:shd w:val="clear" w:color="auto" w:fill="FFFFFF"/>
        </w:rPr>
        <w:t>四、保密要求</w:t>
      </w:r>
    </w:p>
    <w:p>
      <w:pPr>
        <w:pStyle w:val="5"/>
        <w:widowControl/>
        <w:spacing w:beforeAutospacing="0" w:afterAutospacing="0" w:line="500" w:lineRule="exact"/>
        <w:ind w:firstLine="540" w:firstLineChars="225"/>
        <w:rPr>
          <w:rFonts w:ascii="仿宋_GB2312" w:eastAsia="仿宋_GB2312"/>
          <w:color w:val="auto"/>
        </w:rPr>
      </w:pPr>
      <w:r>
        <w:rPr>
          <w:rFonts w:hint="eastAsia" w:ascii="仿宋_GB2312" w:hAnsi="宋体" w:eastAsia="仿宋_GB2312" w:cs="宋体"/>
          <w:color w:val="auto"/>
          <w:shd w:val="clear" w:color="auto" w:fill="FFFFFF"/>
        </w:rPr>
        <w:t>服务机构须对本项目涉及服务对象的个人相关信息进行保密，未经服务对象或其法定监护人书面许可，不得对外披露，不得以任何形式提供给第三方，不得在参与本项目工作之外使用这些保密信息。</w:t>
      </w:r>
    </w:p>
    <w:p>
      <w:pPr>
        <w:pStyle w:val="5"/>
        <w:widowControl/>
        <w:spacing w:beforeAutospacing="0" w:afterAutospacing="0" w:line="500" w:lineRule="exact"/>
        <w:ind w:firstLine="540" w:firstLineChars="225"/>
        <w:rPr>
          <w:rFonts w:ascii="仿宋_GB2312" w:eastAsia="仿宋_GB2312"/>
          <w:color w:val="auto"/>
        </w:rPr>
      </w:pPr>
      <w:r>
        <w:rPr>
          <w:rFonts w:hint="eastAsia" w:ascii="仿宋_GB2312" w:hAnsi="宋体" w:eastAsia="仿宋_GB2312" w:cs="宋体"/>
          <w:color w:val="auto"/>
          <w:shd w:val="clear" w:color="auto" w:fill="FFFFFF"/>
        </w:rPr>
        <w:t>服务机构在本项目终止后不得保留以任何形式存储的服务对象的任何信息数据，不得利用该项目的信息数据为其他的单位（包括自办单位）或项目服务。</w:t>
      </w:r>
    </w:p>
    <w:p>
      <w:pPr>
        <w:pStyle w:val="5"/>
        <w:widowControl/>
        <w:spacing w:beforeAutospacing="0" w:afterAutospacing="0" w:line="500" w:lineRule="exact"/>
        <w:ind w:firstLine="420"/>
        <w:rPr>
          <w:rFonts w:ascii="黑体" w:hAnsi="黑体" w:eastAsia="黑体"/>
          <w:color w:val="auto"/>
        </w:rPr>
      </w:pPr>
      <w:r>
        <w:rPr>
          <w:rFonts w:hint="eastAsia" w:ascii="黑体" w:hAnsi="黑体" w:eastAsia="黑体" w:cs="宋体"/>
          <w:bCs/>
          <w:color w:val="auto"/>
          <w:shd w:val="clear" w:color="auto" w:fill="FFFFFF"/>
        </w:rPr>
        <w:t>五、服务评估</w:t>
      </w:r>
    </w:p>
    <w:p>
      <w:pPr>
        <w:pStyle w:val="5"/>
        <w:widowControl/>
        <w:spacing w:beforeAutospacing="0" w:afterAutospacing="0" w:line="500" w:lineRule="exact"/>
        <w:ind w:firstLine="420"/>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自双方合同签订之日起，</w:t>
      </w:r>
      <w:r>
        <w:rPr>
          <w:rFonts w:hint="eastAsia" w:ascii="仿宋_GB2312" w:hAnsi="宋体" w:eastAsia="仿宋_GB2312" w:cs="宋体"/>
          <w:color w:val="auto"/>
          <w:shd w:val="clear" w:color="auto" w:fill="FFFFFF"/>
          <w:lang w:eastAsia="zh-CN"/>
        </w:rPr>
        <w:t>至</w:t>
      </w:r>
      <w:r>
        <w:rPr>
          <w:rFonts w:hint="eastAsia" w:ascii="仿宋_GB2312" w:hAnsi="宋体" w:eastAsia="仿宋_GB2312" w:cs="宋体"/>
          <w:color w:val="auto"/>
          <w:shd w:val="clear" w:color="auto" w:fill="FFFFFF"/>
        </w:rPr>
        <w:t>服务机构运营</w:t>
      </w:r>
      <w:r>
        <w:rPr>
          <w:rFonts w:hint="eastAsia" w:ascii="仿宋_GB2312" w:hAnsi="宋体" w:eastAsia="仿宋_GB2312" w:cs="宋体"/>
          <w:color w:val="auto"/>
          <w:shd w:val="clear" w:color="auto" w:fill="FFFFFF"/>
          <w:lang w:eastAsia="zh-CN"/>
        </w:rPr>
        <w:t>结束后</w:t>
      </w:r>
      <w:r>
        <w:rPr>
          <w:rFonts w:hint="eastAsia" w:ascii="仿宋_GB2312" w:hAnsi="宋体" w:eastAsia="仿宋_GB2312" w:cs="宋体"/>
          <w:color w:val="auto"/>
          <w:shd w:val="clear" w:color="auto" w:fill="FFFFFF"/>
          <w:lang w:val="en-US" w:eastAsia="zh-CN"/>
        </w:rPr>
        <w:t>30日内，服务</w:t>
      </w:r>
      <w:r>
        <w:rPr>
          <w:rFonts w:hint="eastAsia" w:ascii="仿宋_GB2312" w:hAnsi="宋体" w:eastAsia="仿宋_GB2312" w:cs="宋体"/>
          <w:color w:val="auto"/>
          <w:shd w:val="clear" w:color="auto" w:fill="FFFFFF"/>
          <w:lang w:eastAsia="zh-CN"/>
        </w:rPr>
        <w:t>机构</w:t>
      </w:r>
      <w:r>
        <w:rPr>
          <w:rFonts w:hint="eastAsia" w:ascii="仿宋_GB2312" w:hAnsi="宋体" w:eastAsia="仿宋_GB2312" w:cs="宋体"/>
          <w:color w:val="auto"/>
          <w:shd w:val="clear" w:color="auto" w:fill="FFFFFF"/>
        </w:rPr>
        <w:t>需向我街道提交自评报告，由</w:t>
      </w:r>
      <w:r>
        <w:rPr>
          <w:rFonts w:hint="eastAsia" w:ascii="仿宋_GB2312" w:hAnsi="宋体" w:eastAsia="仿宋_GB2312" w:cs="宋体"/>
          <w:color w:val="auto"/>
          <w:shd w:val="clear" w:color="auto" w:fill="FFFFFF"/>
          <w:lang w:eastAsia="zh-CN"/>
        </w:rPr>
        <w:t>第三方评估机构进行</w:t>
      </w:r>
      <w:r>
        <w:rPr>
          <w:rFonts w:hint="eastAsia" w:ascii="仿宋_GB2312" w:hAnsi="宋体" w:eastAsia="仿宋_GB2312" w:cs="宋体"/>
          <w:color w:val="auto"/>
          <w:shd w:val="clear" w:color="auto" w:fill="FFFFFF"/>
        </w:rPr>
        <w:t>服务评估。对承接的服务项目评估不合格的服务机构，由</w:t>
      </w:r>
      <w:r>
        <w:rPr>
          <w:rFonts w:hint="eastAsia" w:ascii="仿宋_GB2312" w:hAnsi="宋体" w:eastAsia="仿宋_GB2312" w:cs="宋体"/>
          <w:color w:val="auto"/>
          <w:shd w:val="clear" w:color="auto" w:fill="FFFFFF"/>
          <w:lang w:eastAsia="zh-CN"/>
        </w:rPr>
        <w:t>街道办事处</w:t>
      </w:r>
      <w:r>
        <w:rPr>
          <w:rFonts w:hint="eastAsia" w:ascii="仿宋_GB2312" w:hAnsi="宋体" w:eastAsia="仿宋_GB2312" w:cs="宋体"/>
          <w:color w:val="auto"/>
          <w:shd w:val="clear" w:color="auto" w:fill="FFFFFF"/>
        </w:rPr>
        <w:t>督促整改，整改后仍不合格的服务机构，由我街道中止其政府购买服务合同或服务委托协议，服务机构在2年内不得参与我市政府购买社区居家养老服务项目招投标。</w:t>
      </w:r>
    </w:p>
    <w:p>
      <w:pPr>
        <w:pStyle w:val="5"/>
        <w:widowControl/>
        <w:spacing w:beforeAutospacing="0" w:afterAutospacing="0" w:line="500" w:lineRule="exact"/>
        <w:ind w:firstLine="420"/>
        <w:rPr>
          <w:rFonts w:ascii="黑体" w:hAnsi="黑体" w:eastAsia="黑体" w:cs="宋体"/>
          <w:bCs/>
          <w:color w:val="auto"/>
          <w:shd w:val="clear" w:color="auto" w:fill="FFFFFF"/>
        </w:rPr>
      </w:pPr>
      <w:r>
        <w:rPr>
          <w:rFonts w:hint="eastAsia" w:ascii="黑体" w:hAnsi="黑体" w:eastAsia="黑体" w:cs="宋体"/>
          <w:bCs/>
          <w:color w:val="auto"/>
          <w:shd w:val="clear" w:color="auto" w:fill="FFFFFF"/>
        </w:rPr>
        <w:t>六、付款方式</w:t>
      </w:r>
    </w:p>
    <w:p>
      <w:pPr>
        <w:pStyle w:val="5"/>
        <w:widowControl/>
        <w:spacing w:beforeAutospacing="0" w:afterAutospacing="0" w:line="500" w:lineRule="exact"/>
        <w:ind w:firstLine="420"/>
        <w:rPr>
          <w:rFonts w:ascii="楷体_GB2312" w:eastAsia="楷体_GB2312"/>
          <w:color w:val="auto"/>
        </w:rPr>
      </w:pPr>
      <w:r>
        <w:rPr>
          <w:rFonts w:hint="eastAsia" w:ascii="楷体_GB2312" w:hAnsi="宋体" w:eastAsia="楷体_GB2312" w:cs="宋体"/>
          <w:bCs/>
          <w:color w:val="auto"/>
          <w:shd w:val="clear" w:color="auto" w:fill="FFFFFF"/>
        </w:rPr>
        <w:t>（一）运营经费</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1、本项目运营经费总计人民币</w:t>
      </w:r>
      <w:r>
        <w:rPr>
          <w:rFonts w:hint="eastAsia" w:ascii="仿宋_GB2312" w:hAnsi="宋体" w:eastAsia="仿宋_GB2312" w:cs="宋体"/>
          <w:color w:val="auto"/>
          <w:shd w:val="clear" w:color="auto" w:fill="FFFFFF"/>
          <w:lang w:val="en-US" w:eastAsia="zh-CN"/>
        </w:rPr>
        <w:t>10</w:t>
      </w:r>
      <w:r>
        <w:rPr>
          <w:rFonts w:hint="eastAsia" w:ascii="仿宋_GB2312" w:hAnsi="宋体" w:eastAsia="仿宋_GB2312" w:cs="宋体"/>
          <w:color w:val="auto"/>
          <w:shd w:val="clear" w:color="auto" w:fill="FFFFFF"/>
        </w:rPr>
        <w:t>万元，含人员经费、服务支持经费、专业指标经费、办公经费、设备维护经费、宣传费、培训教育经费，及由项目开展而产生的其他费用，按合同约定的方式分期拨付。关于本项目的购买经费标准另有新规定的，按照有关规定执行。</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2、符合政府资助的居家养老服务对象服务经费按对象人数，每月根据实际服务人数进行清算。</w:t>
      </w:r>
    </w:p>
    <w:p>
      <w:pPr>
        <w:pStyle w:val="5"/>
        <w:widowControl/>
        <w:spacing w:beforeAutospacing="0" w:afterAutospacing="0" w:line="500" w:lineRule="exact"/>
        <w:ind w:firstLine="360" w:firstLineChars="150"/>
        <w:rPr>
          <w:rFonts w:ascii="楷体_GB2312" w:hAnsi="宋体" w:eastAsia="楷体_GB2312" w:cs="宋体"/>
          <w:bCs/>
          <w:color w:val="auto"/>
          <w:shd w:val="clear" w:color="auto" w:fill="FFFFFF"/>
        </w:rPr>
      </w:pPr>
      <w:r>
        <w:rPr>
          <w:rFonts w:hint="eastAsia" w:ascii="楷体_GB2312" w:hAnsi="宋体" w:eastAsia="楷体_GB2312" w:cs="宋体"/>
          <w:bCs/>
          <w:color w:val="auto"/>
          <w:shd w:val="clear" w:color="auto" w:fill="FFFFFF"/>
        </w:rPr>
        <w:t>（二）服务对象资助经费及服务项目补助经费</w:t>
      </w:r>
    </w:p>
    <w:p>
      <w:pPr>
        <w:pStyle w:val="5"/>
        <w:widowControl/>
        <w:spacing w:beforeAutospacing="0" w:afterAutospacing="0" w:line="500" w:lineRule="exact"/>
        <w:ind w:firstLine="540" w:firstLineChars="225"/>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服务对象资助经费、服务项目补助经费等政策法规规定的其他经费，按照具体政策执行，服务补助对应中标方完成的服务指标按相关规定计算。服务奖励据</w:t>
      </w:r>
      <w:r>
        <w:rPr>
          <w:rFonts w:hint="eastAsia" w:ascii="仿宋_GB2312" w:hAnsi="宋体" w:eastAsia="仿宋_GB2312" w:cs="宋体"/>
          <w:color w:val="auto"/>
          <w:shd w:val="clear" w:color="auto" w:fill="FFFFFF"/>
          <w:lang w:eastAsia="zh-CN"/>
        </w:rPr>
        <w:t>服务考核</w:t>
      </w:r>
      <w:r>
        <w:rPr>
          <w:rFonts w:hint="eastAsia" w:ascii="仿宋_GB2312" w:hAnsi="宋体" w:eastAsia="仿宋_GB2312" w:cs="宋体"/>
          <w:color w:val="auto"/>
          <w:shd w:val="clear" w:color="auto" w:fill="FFFFFF"/>
        </w:rPr>
        <w:t>评估等级及相关规定执行。服务补助、服务奖励需扣除原服务机构的服务指标及服务运营期按比例结算给原服务机构的部分</w:t>
      </w:r>
      <w:r>
        <w:rPr>
          <w:rFonts w:hint="eastAsia" w:ascii="仿宋_GB2312" w:hAnsi="宋体" w:eastAsia="仿宋_GB2312" w:cs="宋体"/>
          <w:color w:val="auto"/>
          <w:shd w:val="clear" w:color="auto" w:fill="FFFFFF"/>
          <w:lang w:eastAsia="zh-CN"/>
        </w:rPr>
        <w:t>后，</w:t>
      </w:r>
      <w:r>
        <w:rPr>
          <w:rFonts w:hint="eastAsia" w:ascii="仿宋_GB2312" w:hAnsi="宋体" w:eastAsia="仿宋_GB2312" w:cs="宋体"/>
          <w:color w:val="auto"/>
          <w:shd w:val="clear" w:color="auto" w:fill="FFFFFF"/>
        </w:rPr>
        <w:t>根据实际</w:t>
      </w:r>
      <w:r>
        <w:rPr>
          <w:rFonts w:hint="eastAsia" w:ascii="仿宋_GB2312" w:hAnsi="宋体" w:eastAsia="仿宋_GB2312" w:cs="宋体"/>
          <w:color w:val="auto"/>
          <w:shd w:val="clear" w:color="auto" w:fill="FFFFFF"/>
          <w:lang w:eastAsia="zh-CN"/>
        </w:rPr>
        <w:t>服务机构的</w:t>
      </w:r>
      <w:r>
        <w:rPr>
          <w:rFonts w:hint="eastAsia" w:ascii="仿宋_GB2312" w:hAnsi="宋体" w:eastAsia="仿宋_GB2312" w:cs="宋体"/>
          <w:color w:val="auto"/>
          <w:shd w:val="clear" w:color="auto" w:fill="FFFFFF"/>
        </w:rPr>
        <w:t>服务情况，按合同约定方式拨付。</w:t>
      </w:r>
    </w:p>
    <w:p>
      <w:pPr>
        <w:pStyle w:val="5"/>
        <w:widowControl/>
        <w:spacing w:beforeAutospacing="0" w:afterAutospacing="0" w:line="500" w:lineRule="exact"/>
        <w:ind w:firstLine="360" w:firstLineChars="150"/>
        <w:rPr>
          <w:rFonts w:ascii="仿宋_GB2312" w:hAnsi="宋体" w:eastAsia="仿宋_GB2312" w:cs="宋体"/>
          <w:color w:val="auto"/>
          <w:shd w:val="clear" w:color="auto" w:fill="FFFFFF"/>
        </w:rPr>
      </w:pPr>
      <w:r>
        <w:rPr>
          <w:rFonts w:hint="eastAsia" w:ascii="楷体_GB2312" w:hAnsi="宋体" w:eastAsia="楷体_GB2312" w:cs="宋体"/>
          <w:bCs/>
          <w:color w:val="auto"/>
          <w:shd w:val="clear" w:color="auto" w:fill="FFFFFF"/>
        </w:rPr>
        <w:t>（三）其他事项</w:t>
      </w:r>
      <w:r>
        <w:rPr>
          <w:rFonts w:hint="eastAsia" w:ascii="仿宋_GB2312" w:hAnsi="宋体" w:eastAsia="仿宋_GB2312" w:cs="宋体"/>
          <w:color w:val="auto"/>
          <w:shd w:val="clear" w:color="auto" w:fill="FFFFFF"/>
        </w:rPr>
        <w:t xml:space="preserve">        </w:t>
      </w:r>
    </w:p>
    <w:p>
      <w:pPr>
        <w:pStyle w:val="5"/>
        <w:widowControl/>
        <w:spacing w:beforeAutospacing="0" w:afterAutospacing="0" w:line="500" w:lineRule="exact"/>
        <w:ind w:firstLine="540" w:firstLineChars="225"/>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 xml:space="preserve">1、因街道使用的是财政资金，街道在前款规定的付款时间为向政府采购支            </w:t>
      </w:r>
    </w:p>
    <w:p>
      <w:pPr>
        <w:pStyle w:val="5"/>
        <w:widowControl/>
        <w:spacing w:beforeAutospacing="0" w:afterAutospacing="0" w:line="500" w:lineRule="exact"/>
        <w:rPr>
          <w:rFonts w:ascii="仿宋_GB2312" w:eastAsia="仿宋_GB2312"/>
          <w:color w:val="auto"/>
        </w:rPr>
      </w:pPr>
      <w:r>
        <w:rPr>
          <w:rFonts w:hint="eastAsia" w:ascii="仿宋_GB2312" w:hAnsi="宋体" w:eastAsia="仿宋_GB2312" w:cs="宋体"/>
          <w:color w:val="auto"/>
          <w:shd w:val="clear" w:color="auto" w:fill="FFFFFF"/>
        </w:rPr>
        <w:t>付部门提出办理财政支付申请手续的时间（不含政府财政支付部门审核的时间），在规定时间内提出支付申请手续后即视为街道已经按期支付。</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2、服务期间如市、区相关政策调整，重点服务对象人数、标准发生变化，</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必须无条件接受，并严格按此要求执行。（响应时需提供相关承诺函作为证明材料）</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3、服务期间如遇到国家规定的广州市职工最低工资标准发生调整，采购人将不作任何调整，具体以广州市有关部门颁发的文件为准。</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4、服务期间如</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在</w:t>
      </w:r>
      <w:r>
        <w:rPr>
          <w:rFonts w:hint="eastAsia" w:ascii="仿宋_GB2312" w:hAnsi="宋体" w:eastAsia="仿宋_GB2312" w:cs="宋体"/>
          <w:color w:val="auto"/>
          <w:shd w:val="clear" w:color="auto" w:fill="FFFFFF"/>
          <w:lang w:eastAsia="zh-CN"/>
        </w:rPr>
        <w:t>合同结束后</w:t>
      </w:r>
      <w:r>
        <w:rPr>
          <w:rFonts w:hint="eastAsia" w:ascii="仿宋_GB2312" w:hAnsi="宋体" w:eastAsia="仿宋_GB2312" w:cs="宋体"/>
          <w:color w:val="auto"/>
          <w:shd w:val="clear" w:color="auto" w:fill="FFFFFF"/>
        </w:rPr>
        <w:t>的服务质量评估不合格的，采购人有权解除合同</w:t>
      </w:r>
      <w:r>
        <w:rPr>
          <w:rFonts w:hint="eastAsia" w:ascii="仿宋_GB2312" w:hAnsi="宋体" w:eastAsia="仿宋_GB2312" w:cs="宋体"/>
          <w:color w:val="auto"/>
          <w:shd w:val="clear" w:color="auto" w:fill="FFFFFF"/>
          <w:lang w:eastAsia="zh-CN"/>
        </w:rPr>
        <w:t>以及</w:t>
      </w:r>
      <w:r>
        <w:rPr>
          <w:rFonts w:hint="eastAsia" w:ascii="仿宋_GB2312" w:hAnsi="宋体" w:eastAsia="仿宋_GB2312" w:cs="宋体"/>
          <w:color w:val="auto"/>
          <w:shd w:val="clear" w:color="auto" w:fill="FFFFFF"/>
        </w:rPr>
        <w:t>不向</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做任何赔偿或补偿。在解除合同至采购人确定接替的服务机构正式履行合同前，</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仍要为原服务对象提供合同约定的服务，费用按实际人数及服务时间进行结算。合同履行完毕或解除合同后，</w:t>
      </w:r>
      <w:r>
        <w:rPr>
          <w:rFonts w:hint="eastAsia" w:ascii="仿宋_GB2312" w:hAnsi="宋体" w:eastAsia="仿宋_GB2312" w:cs="宋体"/>
          <w:color w:val="auto"/>
          <w:shd w:val="clear" w:color="auto" w:fill="FFFFFF"/>
          <w:lang w:eastAsia="zh-CN"/>
        </w:rPr>
        <w:t>成交机构</w:t>
      </w:r>
      <w:r>
        <w:rPr>
          <w:rFonts w:hint="eastAsia" w:ascii="仿宋_GB2312" w:hAnsi="宋体" w:eastAsia="仿宋_GB2312" w:cs="宋体"/>
          <w:color w:val="auto"/>
          <w:shd w:val="clear" w:color="auto" w:fill="FFFFFF"/>
        </w:rPr>
        <w:t>应与接替的服务机构做好服务内容、相关档案等的交接工作。</w:t>
      </w:r>
    </w:p>
    <w:p>
      <w:pPr>
        <w:pStyle w:val="5"/>
        <w:widowControl/>
        <w:spacing w:beforeAutospacing="0" w:afterAutospacing="0" w:line="500" w:lineRule="exact"/>
        <w:ind w:firstLine="420"/>
        <w:rPr>
          <w:rFonts w:ascii="仿宋_GB2312" w:eastAsia="仿宋_GB2312"/>
          <w:color w:val="auto"/>
        </w:rPr>
      </w:pPr>
      <w:r>
        <w:rPr>
          <w:rFonts w:hint="eastAsia" w:ascii="仿宋_GB2312" w:hAnsi="宋体" w:eastAsia="仿宋_GB2312" w:cs="宋体"/>
          <w:color w:val="auto"/>
          <w:shd w:val="clear" w:color="auto" w:fill="FFFFFF"/>
        </w:rPr>
        <w:t>5、成交机构必须按照广州市居家养老服务有关管理规定和评估标准开展服务，日间托老、助餐配餐和喘息照顾服务等涉及到低偿收费的，应与购买方、监督方协商。</w:t>
      </w:r>
    </w:p>
    <w:p>
      <w:pPr>
        <w:pStyle w:val="5"/>
        <w:widowControl/>
        <w:spacing w:beforeAutospacing="0" w:afterAutospacing="0" w:line="500" w:lineRule="exact"/>
        <w:ind w:firstLine="420"/>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★6、成交机构所有财务开支，必须符合广州市和越秀区有关规定，并接受市、区有关部门的检查、评估、审计，接受购买方的监督。（提供承诺函）。</w:t>
      </w:r>
    </w:p>
    <w:p>
      <w:pPr>
        <w:pStyle w:val="5"/>
        <w:widowControl/>
        <w:spacing w:beforeAutospacing="0" w:afterAutospacing="0" w:line="500" w:lineRule="exact"/>
        <w:ind w:firstLine="420"/>
        <w:rPr>
          <w:rFonts w:ascii="仿宋_GB2312" w:hAnsi="宋体" w:eastAsia="仿宋_GB2312" w:cs="宋体"/>
          <w:color w:val="auto"/>
          <w:shd w:val="clear" w:color="auto" w:fill="FFFFFF"/>
        </w:rPr>
      </w:pPr>
      <w:r>
        <w:rPr>
          <w:rFonts w:hint="eastAsia" w:ascii="仿宋_GB2312" w:hAnsi="宋体" w:eastAsia="仿宋_GB2312" w:cs="宋体"/>
          <w:color w:val="auto"/>
          <w:shd w:val="clear" w:color="auto" w:fill="FFFFFF"/>
        </w:rPr>
        <w:t>7、成交机构不得利用</w:t>
      </w:r>
      <w:r>
        <w:rPr>
          <w:rFonts w:hint="eastAsia" w:ascii="仿宋_GB2312" w:hAnsi="宋体" w:eastAsia="仿宋_GB2312" w:cs="宋体"/>
          <w:color w:val="auto"/>
          <w:shd w:val="clear" w:color="auto" w:fill="FFFFFF"/>
          <w:lang w:eastAsia="zh-CN"/>
        </w:rPr>
        <w:t>光塔街综合养老服务中心（颐康中心）（含长者饭堂、社区颐康服务站）等养老服务设施</w:t>
      </w:r>
      <w:r>
        <w:rPr>
          <w:rFonts w:hint="eastAsia" w:ascii="仿宋_GB2312" w:hAnsi="宋体" w:eastAsia="仿宋_GB2312" w:cs="宋体"/>
          <w:color w:val="auto"/>
          <w:shd w:val="clear" w:color="auto" w:fill="FFFFFF"/>
        </w:rPr>
        <w:t>以产品展示的方式向服务对象推销所谓的保健食品或者保健器材等，如经发现中标</w:t>
      </w:r>
      <w:r>
        <w:rPr>
          <w:rFonts w:hint="eastAsia" w:ascii="仿宋_GB2312" w:hAnsi="宋体" w:eastAsia="仿宋_GB2312" w:cs="宋体"/>
          <w:color w:val="auto"/>
          <w:shd w:val="clear" w:color="auto" w:fill="FFFFFF"/>
          <w:lang w:eastAsia="zh-CN"/>
        </w:rPr>
        <w:t>方</w:t>
      </w:r>
      <w:r>
        <w:rPr>
          <w:rFonts w:hint="eastAsia" w:ascii="仿宋_GB2312" w:hAnsi="宋体" w:eastAsia="仿宋_GB2312" w:cs="宋体"/>
          <w:color w:val="auto"/>
          <w:shd w:val="clear" w:color="auto" w:fill="FFFFFF"/>
        </w:rPr>
        <w:t>情况严重，采购</w:t>
      </w:r>
      <w:r>
        <w:rPr>
          <w:rFonts w:hint="eastAsia" w:ascii="仿宋_GB2312" w:hAnsi="宋体" w:eastAsia="仿宋_GB2312" w:cs="宋体"/>
          <w:color w:val="auto"/>
          <w:shd w:val="clear" w:color="auto" w:fill="FFFFFF"/>
          <w:lang w:eastAsia="zh-CN"/>
        </w:rPr>
        <w:t>方</w:t>
      </w:r>
      <w:r>
        <w:rPr>
          <w:rFonts w:hint="eastAsia" w:ascii="仿宋_GB2312" w:hAnsi="宋体" w:eastAsia="仿宋_GB2312" w:cs="宋体"/>
          <w:color w:val="auto"/>
          <w:shd w:val="clear" w:color="auto" w:fill="FFFFFF"/>
        </w:rPr>
        <w:t>可立即取消合同并按相关法律追究法律责任。</w:t>
      </w:r>
    </w:p>
    <w:p>
      <w:pPr>
        <w:pStyle w:val="5"/>
        <w:widowControl/>
        <w:spacing w:beforeAutospacing="0" w:afterAutospacing="0" w:line="500" w:lineRule="exact"/>
        <w:ind w:firstLine="480" w:firstLineChars="200"/>
        <w:rPr>
          <w:rFonts w:ascii="仿宋_GB2312" w:eastAsia="仿宋_GB2312"/>
          <w:color w:val="auto"/>
        </w:rPr>
      </w:pPr>
      <w:r>
        <w:rPr>
          <w:rFonts w:hint="eastAsia" w:ascii="仿宋_GB2312" w:hAnsi="宋体" w:eastAsia="仿宋_GB2312" w:cs="宋体"/>
          <w:color w:val="auto"/>
          <w:shd w:val="clear" w:color="auto" w:fill="FFFFFF"/>
        </w:rPr>
        <w:t>8、</w:t>
      </w:r>
      <w:r>
        <w:rPr>
          <w:rFonts w:hint="eastAsia" w:ascii="仿宋_GB2312" w:hAnsi="宋体" w:eastAsia="仿宋_GB2312" w:cs="宋体"/>
          <w:color w:val="auto"/>
          <w:shd w:val="clear" w:color="auto" w:fill="FFFFFF"/>
          <w:lang w:eastAsia="zh-CN"/>
        </w:rPr>
        <w:t>中标</w:t>
      </w:r>
      <w:r>
        <w:rPr>
          <w:rFonts w:hint="eastAsia" w:ascii="仿宋_GB2312" w:hAnsi="宋体" w:eastAsia="仿宋_GB2312" w:cs="宋体"/>
          <w:color w:val="auto"/>
          <w:shd w:val="clear" w:color="auto" w:fill="FFFFFF"/>
        </w:rPr>
        <w:t>机构成交后签订双方服务协议，光塔街道为项目购买方，成交机构为服务提供方，协议报区民政局备案。</w:t>
      </w:r>
    </w:p>
    <w:p>
      <w:pPr>
        <w:spacing w:line="5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20388"/>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46055"/>
    <w:multiLevelType w:val="singleLevel"/>
    <w:tmpl w:val="8D846055"/>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FhNDc2NDcyMmRlZDQ0YTBlMGU4YzNiZWY2MTg4NGIifQ=="/>
  </w:docVars>
  <w:rsids>
    <w:rsidRoot w:val="209A1E9C"/>
    <w:rsid w:val="00000D0C"/>
    <w:rsid w:val="00001476"/>
    <w:rsid w:val="00036C98"/>
    <w:rsid w:val="00062320"/>
    <w:rsid w:val="00064641"/>
    <w:rsid w:val="000745ED"/>
    <w:rsid w:val="000769AF"/>
    <w:rsid w:val="0008738E"/>
    <w:rsid w:val="001212DC"/>
    <w:rsid w:val="00125EF4"/>
    <w:rsid w:val="00144638"/>
    <w:rsid w:val="0014544D"/>
    <w:rsid w:val="00170F2D"/>
    <w:rsid w:val="00186436"/>
    <w:rsid w:val="002047E4"/>
    <w:rsid w:val="002068CC"/>
    <w:rsid w:val="002628EC"/>
    <w:rsid w:val="00266DA4"/>
    <w:rsid w:val="00292405"/>
    <w:rsid w:val="002D01A7"/>
    <w:rsid w:val="002D20BC"/>
    <w:rsid w:val="002F1C2A"/>
    <w:rsid w:val="002F3D7F"/>
    <w:rsid w:val="00332953"/>
    <w:rsid w:val="00336A7B"/>
    <w:rsid w:val="00336D74"/>
    <w:rsid w:val="003B044C"/>
    <w:rsid w:val="00415B69"/>
    <w:rsid w:val="00467BC6"/>
    <w:rsid w:val="004807D5"/>
    <w:rsid w:val="004C5180"/>
    <w:rsid w:val="004E0B0E"/>
    <w:rsid w:val="004F2E38"/>
    <w:rsid w:val="0051760C"/>
    <w:rsid w:val="005221D1"/>
    <w:rsid w:val="00581085"/>
    <w:rsid w:val="00586B2C"/>
    <w:rsid w:val="005B1BE7"/>
    <w:rsid w:val="00662A43"/>
    <w:rsid w:val="006639CF"/>
    <w:rsid w:val="006A62C9"/>
    <w:rsid w:val="007123D3"/>
    <w:rsid w:val="007126A0"/>
    <w:rsid w:val="007164E8"/>
    <w:rsid w:val="007172B5"/>
    <w:rsid w:val="00725BCC"/>
    <w:rsid w:val="00732360"/>
    <w:rsid w:val="00760D4E"/>
    <w:rsid w:val="0079463A"/>
    <w:rsid w:val="007B7697"/>
    <w:rsid w:val="007D03A5"/>
    <w:rsid w:val="00845E86"/>
    <w:rsid w:val="00860216"/>
    <w:rsid w:val="00871E4D"/>
    <w:rsid w:val="008C0D07"/>
    <w:rsid w:val="008C1E14"/>
    <w:rsid w:val="008C268F"/>
    <w:rsid w:val="008C361E"/>
    <w:rsid w:val="008C6DFE"/>
    <w:rsid w:val="0091189E"/>
    <w:rsid w:val="009834AC"/>
    <w:rsid w:val="009C0E04"/>
    <w:rsid w:val="009D577D"/>
    <w:rsid w:val="009E18F0"/>
    <w:rsid w:val="009E320D"/>
    <w:rsid w:val="009E3E7D"/>
    <w:rsid w:val="009F76AE"/>
    <w:rsid w:val="00A17CF3"/>
    <w:rsid w:val="00A40612"/>
    <w:rsid w:val="00A83089"/>
    <w:rsid w:val="00A95292"/>
    <w:rsid w:val="00AA6CA9"/>
    <w:rsid w:val="00AF2BA6"/>
    <w:rsid w:val="00B6511D"/>
    <w:rsid w:val="00B71049"/>
    <w:rsid w:val="00B8433A"/>
    <w:rsid w:val="00BB0611"/>
    <w:rsid w:val="00C0496B"/>
    <w:rsid w:val="00C067C7"/>
    <w:rsid w:val="00C162CD"/>
    <w:rsid w:val="00C6741E"/>
    <w:rsid w:val="00C83E69"/>
    <w:rsid w:val="00CF0B11"/>
    <w:rsid w:val="00CF4375"/>
    <w:rsid w:val="00D20CC7"/>
    <w:rsid w:val="00D23C31"/>
    <w:rsid w:val="00D35633"/>
    <w:rsid w:val="00D66169"/>
    <w:rsid w:val="00D726CB"/>
    <w:rsid w:val="00DA5BC5"/>
    <w:rsid w:val="00DE51DF"/>
    <w:rsid w:val="00E3341C"/>
    <w:rsid w:val="00E8555C"/>
    <w:rsid w:val="00E87BEE"/>
    <w:rsid w:val="00E9160A"/>
    <w:rsid w:val="00EE3E20"/>
    <w:rsid w:val="00EE7ED2"/>
    <w:rsid w:val="00F10308"/>
    <w:rsid w:val="00F3087B"/>
    <w:rsid w:val="00F34B19"/>
    <w:rsid w:val="00F61CBD"/>
    <w:rsid w:val="00F843DF"/>
    <w:rsid w:val="00FA4875"/>
    <w:rsid w:val="00FA4E06"/>
    <w:rsid w:val="00FC6970"/>
    <w:rsid w:val="00FD0EEF"/>
    <w:rsid w:val="017D26CA"/>
    <w:rsid w:val="031E60EE"/>
    <w:rsid w:val="06AD0125"/>
    <w:rsid w:val="098B0432"/>
    <w:rsid w:val="0A8B6D9E"/>
    <w:rsid w:val="0B863654"/>
    <w:rsid w:val="0DA43A26"/>
    <w:rsid w:val="11034365"/>
    <w:rsid w:val="12045226"/>
    <w:rsid w:val="12283066"/>
    <w:rsid w:val="12285FBF"/>
    <w:rsid w:val="129245E0"/>
    <w:rsid w:val="14670E29"/>
    <w:rsid w:val="14B06F9F"/>
    <w:rsid w:val="167947E6"/>
    <w:rsid w:val="19DD394C"/>
    <w:rsid w:val="1A2C4084"/>
    <w:rsid w:val="1A7B4173"/>
    <w:rsid w:val="1ACA3D9F"/>
    <w:rsid w:val="1C8812E8"/>
    <w:rsid w:val="1EA71413"/>
    <w:rsid w:val="1EC176A7"/>
    <w:rsid w:val="1EDD3330"/>
    <w:rsid w:val="209A1E9C"/>
    <w:rsid w:val="260704EC"/>
    <w:rsid w:val="26E82B3C"/>
    <w:rsid w:val="28EC1C29"/>
    <w:rsid w:val="2A382B09"/>
    <w:rsid w:val="2AC55323"/>
    <w:rsid w:val="322546D1"/>
    <w:rsid w:val="331A6D6D"/>
    <w:rsid w:val="344E7A61"/>
    <w:rsid w:val="34B037FD"/>
    <w:rsid w:val="3644434F"/>
    <w:rsid w:val="37A10C9D"/>
    <w:rsid w:val="380F20AB"/>
    <w:rsid w:val="3A7A7584"/>
    <w:rsid w:val="3A806B2D"/>
    <w:rsid w:val="3B970C9B"/>
    <w:rsid w:val="3CAA05F4"/>
    <w:rsid w:val="3F060986"/>
    <w:rsid w:val="401D167F"/>
    <w:rsid w:val="41185A58"/>
    <w:rsid w:val="43827BD5"/>
    <w:rsid w:val="44C379A3"/>
    <w:rsid w:val="44D22496"/>
    <w:rsid w:val="485853A8"/>
    <w:rsid w:val="4A69389D"/>
    <w:rsid w:val="4B1E356A"/>
    <w:rsid w:val="4B245A16"/>
    <w:rsid w:val="4BC468B1"/>
    <w:rsid w:val="4BE551A5"/>
    <w:rsid w:val="4C6E71D7"/>
    <w:rsid w:val="4C8338E0"/>
    <w:rsid w:val="4DD86643"/>
    <w:rsid w:val="4FAC5825"/>
    <w:rsid w:val="4FCE31AB"/>
    <w:rsid w:val="51025EB1"/>
    <w:rsid w:val="517B2107"/>
    <w:rsid w:val="53DA2417"/>
    <w:rsid w:val="542C39E7"/>
    <w:rsid w:val="56222D48"/>
    <w:rsid w:val="56C540B2"/>
    <w:rsid w:val="56F62932"/>
    <w:rsid w:val="589A7317"/>
    <w:rsid w:val="58B73A25"/>
    <w:rsid w:val="5A0A4028"/>
    <w:rsid w:val="5B1035E6"/>
    <w:rsid w:val="5D7B43E9"/>
    <w:rsid w:val="5E783C56"/>
    <w:rsid w:val="5F2A03EB"/>
    <w:rsid w:val="62107282"/>
    <w:rsid w:val="62193B9A"/>
    <w:rsid w:val="630E2DDB"/>
    <w:rsid w:val="64357EF4"/>
    <w:rsid w:val="67B33F51"/>
    <w:rsid w:val="699B65CF"/>
    <w:rsid w:val="6A554E4C"/>
    <w:rsid w:val="6D3D6A20"/>
    <w:rsid w:val="72190D53"/>
    <w:rsid w:val="74411998"/>
    <w:rsid w:val="753A10C3"/>
    <w:rsid w:val="78C377CF"/>
    <w:rsid w:val="7FD125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99"/>
    <w:rPr>
      <w:rFonts w:asciiTheme="minorHAnsi" w:hAnsiTheme="minorHAnsi" w:eastAsiaTheme="minorEastAsia" w:cstheme="minorBidi"/>
      <w:kern w:val="2"/>
      <w:sz w:val="18"/>
      <w:szCs w:val="18"/>
    </w:rPr>
  </w:style>
  <w:style w:type="paragraph" w:customStyle="1" w:styleId="11">
    <w:name w:val="段"/>
    <w:basedOn w:val="12"/>
    <w:qFormat/>
    <w:uiPriority w:val="0"/>
    <w:pPr>
      <w:widowControl/>
      <w:tabs>
        <w:tab w:val="center" w:pos="4201"/>
        <w:tab w:val="right" w:leader="dot" w:pos="9298"/>
      </w:tabs>
      <w:autoSpaceDE w:val="0"/>
      <w:autoSpaceDN w:val="0"/>
      <w:ind w:firstLine="420" w:firstLineChars="200"/>
    </w:pPr>
    <w:rPr>
      <w:rFonts w:ascii="宋体" w:hAnsi="宋体" w:eastAsia="宋体" w:cs="宋体"/>
      <w:kern w:val="24"/>
      <w:szCs w:val="32"/>
    </w:rPr>
  </w:style>
  <w:style w:type="paragraph" w:customStyle="1" w:styleId="12">
    <w:name w:val="正文 New"/>
    <w:qFormat/>
    <w:uiPriority w:val="0"/>
    <w:pPr>
      <w:widowControl w:val="0"/>
      <w:jc w:val="both"/>
    </w:pPr>
    <w:rPr>
      <w:rFonts w:ascii="Calibri" w:hAnsi="Calibri"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10386</Words>
  <Characters>10680</Characters>
  <Lines>71</Lines>
  <Paragraphs>20</Paragraphs>
  <TotalTime>4</TotalTime>
  <ScaleCrop>false</ScaleCrop>
  <LinksUpToDate>false</LinksUpToDate>
  <CharactersWithSpaces>10816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2021-10-12T07:59:00Z</dcterms:created>
  <dc:creator>许诺</dc:creator>
  <cp:lastModifiedBy>小狐狸</cp:lastModifiedBy>
  <dcterms:modified xsi:type="dcterms:W3CDTF">2023-09-05T04:05:11Z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93C97FD41572468194789D910D39914A</vt:lpwstr>
  </property>
</Properties>
</file>