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6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评审方法、步骤及标准</w:t>
      </w:r>
    </w:p>
    <w:p>
      <w:pPr>
        <w:spacing w:line="360" w:lineRule="auto"/>
        <w:jc w:val="left"/>
        <w:rPr>
          <w:rFonts w:hint="default" w:ascii="Times New Roman" w:hAnsi="Times New Roman" w:cs="Times New Roman"/>
          <w:b/>
          <w:color w:val="000000"/>
          <w:kern w:val="0"/>
          <w:sz w:val="28"/>
          <w:szCs w:val="28"/>
        </w:rPr>
      </w:pPr>
    </w:p>
    <w:p>
      <w:pPr>
        <w:pStyle w:val="5"/>
        <w:adjustRightInd w:val="0"/>
        <w:snapToGrid w:val="0"/>
        <w:spacing w:line="360" w:lineRule="auto"/>
        <w:ind w:left="1290" w:leftChars="304" w:hanging="652" w:hangingChars="204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一、评审流程</w:t>
      </w:r>
    </w:p>
    <w:p>
      <w:pPr>
        <w:pStyle w:val="5"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评审委员会各成员分别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各个投标人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对项目需求的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响应情况进行评议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比较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并打分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。评审委员会各成员评分的算术平均值即为该投标人的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分。然后，评出投标人的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价格得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分。将各投标机构的技术、商务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价格得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分相加得出其综合得分。最后将各综合得分由高到低顺序排列，综合得分最高的投标机构为第一中标候选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5"/>
        <w:adjustRightInd w:val="0"/>
        <w:snapToGrid w:val="0"/>
        <w:spacing w:line="360" w:lineRule="auto"/>
        <w:ind w:left="1290" w:leftChars="304" w:hanging="652" w:hangingChars="204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二、项目评审</w:t>
      </w:r>
    </w:p>
    <w:p>
      <w:pPr>
        <w:pStyle w:val="5"/>
        <w:adjustRightInd w:val="0"/>
        <w:snapToGrid w:val="0"/>
        <w:spacing w:line="360" w:lineRule="auto"/>
        <w:ind w:left="1290" w:leftChars="304" w:hanging="652" w:hangingChars="204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（一）评分总值最高为100分，评分分值（权重）分配如下：</w:t>
      </w:r>
    </w:p>
    <w:tbl>
      <w:tblPr>
        <w:tblStyle w:val="9"/>
        <w:tblW w:w="8118" w:type="dxa"/>
        <w:tblInd w:w="1029" w:type="dxa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845"/>
        <w:gridCol w:w="2645"/>
        <w:gridCol w:w="2628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813" w:hRule="atLeast"/>
        </w:trPr>
        <w:tc>
          <w:tcPr>
            <w:tcW w:w="284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评分项目</w:t>
            </w:r>
          </w:p>
        </w:tc>
        <w:tc>
          <w:tcPr>
            <w:tcW w:w="264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CN"/>
              </w:rPr>
              <w:t>技术商务分</w:t>
            </w:r>
          </w:p>
        </w:tc>
        <w:tc>
          <w:tcPr>
            <w:tcW w:w="262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价格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CN"/>
              </w:rPr>
              <w:t>分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41" w:hRule="atLeast"/>
        </w:trPr>
        <w:tc>
          <w:tcPr>
            <w:tcW w:w="284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分值（F）</w:t>
            </w:r>
          </w:p>
        </w:tc>
        <w:tc>
          <w:tcPr>
            <w:tcW w:w="264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分</w:t>
            </w:r>
          </w:p>
        </w:tc>
        <w:tc>
          <w:tcPr>
            <w:tcW w:w="262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zh-CN"/>
              </w:rPr>
              <w:t>30分</w:t>
            </w:r>
          </w:p>
        </w:tc>
      </w:tr>
    </w:tbl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综合得分=技术商务分+价格分。</w:t>
      </w:r>
    </w:p>
    <w:p>
      <w:pPr>
        <w:pStyle w:val="5"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（二）技术商务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价格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评审：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评分项明细详见附表《评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表》。</w:t>
      </w:r>
    </w:p>
    <w:p>
      <w:pPr>
        <w:pStyle w:val="5"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）评分及统计：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评委评分的算术平均值即为该投标机构的技术、商务评分。然后再评出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价格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评分。最后，将技术、商务评分和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价格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评分相加得出评审总得分（评审总得分分值按四舍五入原则精确到小数点后两位）。</w:t>
      </w:r>
    </w:p>
    <w:p>
      <w:pPr>
        <w:pStyle w:val="5"/>
        <w:adjustRightInd w:val="0"/>
        <w:snapToGrid w:val="0"/>
        <w:spacing w:line="360" w:lineRule="auto"/>
        <w:ind w:left="1290" w:leftChars="304" w:hanging="652" w:hangingChars="204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、中标机构的确定</w:t>
      </w:r>
    </w:p>
    <w:p>
      <w:pPr>
        <w:pStyle w:val="5"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（一）推荐中标候选机构名单：本项目推荐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名中标候选机构。将各有效投标机构按其评审总得分由高到低顺序排列，评审总得分相同的，按下列顺序比较确定：1.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价格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（由高到低）；2.技术、商务评分（由高到低）。如以上都相同的，名次由评审委员会抽签确定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排名第一的投标机构为第一中标候选机构。</w:t>
      </w:r>
    </w:p>
    <w:p>
      <w:pPr>
        <w:pStyle w:val="5"/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（二）确定中标机构：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根据评审委员会的评审结果，采购方依相关规定确定中标机构。</w:t>
      </w:r>
      <w:r>
        <w:rPr>
          <w:rFonts w:hint="default" w:ascii="Times New Roman" w:hAnsi="Times New Roman" w:cs="Times New Roman"/>
          <w:color w:val="000000"/>
        </w:rPr>
        <w:br w:type="page"/>
      </w:r>
      <w:bookmarkStart w:id="0" w:name="_Toc383780136"/>
      <w:bookmarkStart w:id="1" w:name="_Toc385946401"/>
      <w:bookmarkStart w:id="2" w:name="_Toc204664426"/>
      <w:bookmarkStart w:id="3" w:name="_Toc278794807"/>
      <w:bookmarkStart w:id="4" w:name="_Toc278274486"/>
      <w:bookmarkStart w:id="5" w:name="_Toc223856295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附表</w:t>
      </w:r>
      <w:bookmarkEnd w:id="0"/>
      <w:bookmarkEnd w:id="1"/>
      <w:bookmarkEnd w:id="2"/>
      <w:bookmarkEnd w:id="3"/>
      <w:bookmarkEnd w:id="4"/>
    </w:p>
    <w:bookmarkEnd w:id="5"/>
    <w:p>
      <w:pPr>
        <w:spacing w:after="120" w:afterLines="50"/>
        <w:ind w:firstLine="640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评分表（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100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分）</w:t>
      </w:r>
    </w:p>
    <w:tbl>
      <w:tblPr>
        <w:tblStyle w:val="9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300"/>
        <w:gridCol w:w="709"/>
        <w:gridCol w:w="7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6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评审内容</w:t>
            </w:r>
          </w:p>
        </w:tc>
        <w:tc>
          <w:tcPr>
            <w:tcW w:w="1300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评分因素</w:t>
            </w:r>
          </w:p>
        </w:tc>
        <w:tc>
          <w:tcPr>
            <w:tcW w:w="709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权重比值</w:t>
            </w:r>
          </w:p>
        </w:tc>
        <w:tc>
          <w:tcPr>
            <w:tcW w:w="7049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6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分值构成</w:t>
            </w:r>
          </w:p>
        </w:tc>
        <w:tc>
          <w:tcPr>
            <w:tcW w:w="7758" w:type="dxa"/>
            <w:gridSpan w:val="2"/>
            <w:vAlign w:val="center"/>
          </w:tcPr>
          <w:p>
            <w:pPr>
              <w:wordWrap w:val="0"/>
              <w:snapToGrid w:val="0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满分100分：</w:t>
            </w:r>
          </w:p>
          <w:p>
            <w:pPr>
              <w:snapToGrid w:val="0"/>
              <w:spacing w:line="0" w:lineRule="atLeas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技术评价：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0分</w:t>
            </w:r>
          </w:p>
          <w:p>
            <w:pPr>
              <w:wordWrap w:val="0"/>
              <w:snapToGrid w:val="0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价格评价：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技术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商务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部分</w:t>
            </w:r>
          </w:p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0分）</w:t>
            </w:r>
          </w:p>
        </w:tc>
        <w:tc>
          <w:tcPr>
            <w:tcW w:w="1300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体系认证</w:t>
            </w:r>
          </w:p>
        </w:tc>
        <w:tc>
          <w:tcPr>
            <w:tcW w:w="709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049" w:type="dxa"/>
            <w:vAlign w:val="center"/>
          </w:tcPr>
          <w:p>
            <w:pPr>
              <w:wordWrap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根据参选人是否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获得过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以下认证进行评分，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满分10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分：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1、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高新企业认证，得1分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 xml:space="preserve">； 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2、ISO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9001:2015质量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管理体系认证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1次得1分，2次以上得2分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wordWrap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提供安防资格证书，得1分；</w:t>
            </w:r>
          </w:p>
          <w:p>
            <w:pPr>
              <w:numPr>
                <w:ilvl w:val="0"/>
                <w:numId w:val="1"/>
              </w:numPr>
              <w:wordWrap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提供2017年以来的重合同守信用证书，有3次或以上得2分。</w:t>
            </w:r>
          </w:p>
          <w:p>
            <w:pPr>
              <w:numPr>
                <w:ilvl w:val="0"/>
                <w:numId w:val="1"/>
              </w:numPr>
              <w:wordWrap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提供专利著作权证书10或个以上，得2分。</w:t>
            </w:r>
          </w:p>
          <w:p>
            <w:pPr>
              <w:numPr>
                <w:ilvl w:val="0"/>
                <w:numId w:val="1"/>
              </w:numPr>
              <w:wordWrap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提供全国综合信用信息服务平台《信用培育单位》证书，得1分。</w:t>
            </w:r>
          </w:p>
          <w:p>
            <w:pPr>
              <w:numPr>
                <w:ilvl w:val="0"/>
                <w:numId w:val="1"/>
              </w:numPr>
              <w:wordWrap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 xml:space="preserve">提供建筑劳务资质证书得1分。1                                  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注：需提供有效的证书复印件/扫描件（原件备查）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并提供天眼查平台截图证明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，不提供不得分。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财务状况</w:t>
            </w:r>
          </w:p>
        </w:tc>
        <w:tc>
          <w:tcPr>
            <w:tcW w:w="709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7049" w:type="dxa"/>
            <w:vAlign w:val="center"/>
          </w:tcPr>
          <w:p>
            <w:pPr>
              <w:wordWrap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参选人提供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年至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2022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年财务报表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连续盈利3年得1分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参选人连续获得5年税局A级或以上税务评级得1分，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无提供或不满足不得分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此项满分2分。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业绩案例</w:t>
            </w:r>
          </w:p>
        </w:tc>
        <w:tc>
          <w:tcPr>
            <w:tcW w:w="709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7049" w:type="dxa"/>
            <w:vAlign w:val="center"/>
          </w:tcPr>
          <w:p>
            <w:pPr>
              <w:wordWrap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shd w:val="clear" w:color="auto" w:fill="FFFFFF"/>
              </w:rPr>
              <w:t>比较近三年</w:t>
            </w:r>
            <w:r>
              <w:rPr>
                <w:rFonts w:hint="default" w:ascii="Times New Roman" w:hAnsi="Times New Roman" w:cs="Times New Roman" w:eastAsiaTheme="minorEastAsia"/>
                <w:szCs w:val="21"/>
                <w:shd w:val="clear" w:color="auto" w:fill="FFFFFF"/>
              </w:rPr>
              <w:t>（20</w:t>
            </w:r>
            <w:r>
              <w:rPr>
                <w:rFonts w:hint="default" w:ascii="Times New Roman" w:hAnsi="Times New Roman" w:cs="Times New Roman" w:eastAsiaTheme="minorEastAsia"/>
                <w:szCs w:val="21"/>
                <w:shd w:val="clear" w:color="auto" w:fill="FFFFFF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Cs w:val="21"/>
                <w:shd w:val="clear" w:color="auto" w:fill="FFFFFF"/>
              </w:rPr>
              <w:t>年01月01日至参选截止时间）同类</w:t>
            </w:r>
            <w:r>
              <w:rPr>
                <w:rFonts w:hint="default" w:ascii="Times New Roman" w:hAnsi="Times New Roman" w:cs="Times New Roman" w:eastAsiaTheme="minorEastAsia"/>
                <w:szCs w:val="21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 w:eastAsiaTheme="minorEastAsia"/>
                <w:szCs w:val="21"/>
                <w:shd w:val="clear" w:color="auto" w:fill="FFFFFF"/>
              </w:rPr>
              <w:t>成功使用案例，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提供相关的合同关键页复印件：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①如为单项合同的，以合同签订日期和金额为准；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②如为框架合同的，除了合同关键页复印件外，还需同时提供相应订单复印件（以订单日期和订单金额为准）。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注：合同关键页至少应包括合同名称页、合同服务内容页、合同金额页、合同盖章页（需双方盖章）等能证明业绩的内容。资料不全、无法确定业绩的不予认可。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含有同类产品的业绩：每提供1份金额100万元（不含）以上的得1分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最多得2分。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产品证书</w:t>
            </w:r>
          </w:p>
        </w:tc>
        <w:tc>
          <w:tcPr>
            <w:tcW w:w="709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049" w:type="dxa"/>
            <w:vAlign w:val="center"/>
          </w:tcPr>
          <w:p>
            <w:pPr>
              <w:wordWrap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参选人参选监控产品原厂商：具有ITSS信息技术服务运行维护标准符合性证书；先进质量管理孵化基地；工信领域标准化示范企业创建单位以上资质，并提供盖章复印件，得3分，少一个不得分。</w:t>
            </w:r>
          </w:p>
          <w:p>
            <w:pPr>
              <w:wordWrap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参选人所选择的综合布线品牌产品原材料需要符合ROHS或REACH要求，并同时提供第三方检验报告，得2分。</w:t>
            </w:r>
          </w:p>
          <w:p>
            <w:pPr>
              <w:wordWrap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以上须提供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原厂商盖章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相关证书复印件或证明材料，不提供不得分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满分5分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技术指标</w:t>
            </w:r>
          </w:p>
        </w:tc>
        <w:tc>
          <w:tcPr>
            <w:tcW w:w="709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25</w:t>
            </w:r>
          </w:p>
        </w:tc>
        <w:tc>
          <w:tcPr>
            <w:tcW w:w="7049" w:type="dxa"/>
            <w:vAlign w:val="center"/>
          </w:tcPr>
          <w:p>
            <w:pPr>
              <w:wordWrap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shd w:val="clear" w:color="auto" w:fill="FFFFFF"/>
                <w:lang w:val="en-US" w:eastAsia="zh-CN"/>
              </w:rPr>
              <w:t>对比需求书内的</w:t>
            </w:r>
            <w:r>
              <w:rPr>
                <w:rFonts w:hint="default" w:ascii="Times New Roman" w:hAnsi="Times New Roman" w:cs="Times New Roman" w:eastAsiaTheme="minorEastAsia"/>
                <w:szCs w:val="21"/>
                <w:shd w:val="clear" w:color="auto" w:fill="FFFFFF"/>
              </w:rPr>
              <w:t>采购清单</w:t>
            </w:r>
            <w:r>
              <w:rPr>
                <w:rFonts w:hint="default" w:ascii="Times New Roman" w:hAnsi="Times New Roman" w:cs="Times New Roman" w:eastAsiaTheme="minorEastAsia"/>
                <w:szCs w:val="21"/>
                <w:shd w:val="clear" w:color="auto" w:fill="FFFFFF"/>
                <w:lang w:val="en-US" w:eastAsia="zh-CN"/>
              </w:rPr>
              <w:t>技术参数</w:t>
            </w:r>
            <w:r>
              <w:rPr>
                <w:rFonts w:hint="default" w:ascii="Times New Roman" w:hAnsi="Times New Roman" w:cs="Times New Roman" w:eastAsiaTheme="minorEastAsia"/>
                <w:szCs w:val="21"/>
                <w:shd w:val="clear" w:color="auto" w:fill="FFFFFF"/>
              </w:rPr>
              <w:t>条款，</w:t>
            </w:r>
            <w:r>
              <w:rPr>
                <w:rFonts w:hint="default" w:ascii="Times New Roman" w:hAnsi="Times New Roman" w:cs="Times New Roman" w:eastAsiaTheme="minorEastAsia"/>
                <w:szCs w:val="21"/>
                <w:shd w:val="clear" w:color="auto" w:fill="FFFFFF"/>
                <w:lang w:val="en-US" w:eastAsia="zh-CN"/>
              </w:rPr>
              <w:t>满分25分，</w:t>
            </w:r>
            <w:r>
              <w:rPr>
                <w:rFonts w:hint="default" w:ascii="Times New Roman" w:hAnsi="Times New Roman" w:cs="Times New Roman" w:eastAsiaTheme="minorEastAsia"/>
                <w:szCs w:val="21"/>
                <w:shd w:val="clear" w:color="auto" w:fill="FFFFFF"/>
              </w:rPr>
              <w:t>每有一条不满足的扣</w:t>
            </w:r>
            <w:r>
              <w:rPr>
                <w:rFonts w:hint="default" w:ascii="Times New Roman" w:hAnsi="Times New Roman" w:cs="Times New Roman" w:eastAsiaTheme="minorEastAsia"/>
                <w:szCs w:val="21"/>
                <w:shd w:val="clear" w:color="auto" w:fill="FFFFFF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Cs w:val="21"/>
                <w:shd w:val="clear" w:color="auto" w:fill="FFFFFF"/>
                <w:lang w:val="en-US" w:eastAsia="zh-CN"/>
              </w:rPr>
              <w:t>.5</w:t>
            </w:r>
            <w:r>
              <w:rPr>
                <w:rFonts w:hint="default" w:ascii="Times New Roman" w:hAnsi="Times New Roman" w:cs="Times New Roman" w:eastAsiaTheme="minorEastAsia"/>
                <w:szCs w:val="21"/>
                <w:shd w:val="clear" w:color="auto" w:fill="FFFFFF"/>
              </w:rPr>
              <w:t>分，扣完为止</w:t>
            </w:r>
            <w:r>
              <w:rPr>
                <w:rFonts w:hint="default" w:ascii="Times New Roman" w:hAnsi="Times New Roman" w:cs="Times New Roman" w:eastAsiaTheme="minorEastAsia"/>
                <w:szCs w:val="21"/>
                <w:shd w:val="clear" w:color="auto" w:fill="FFFFFF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项目整体方案</w:t>
            </w:r>
          </w:p>
        </w:tc>
        <w:tc>
          <w:tcPr>
            <w:tcW w:w="709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10</w:t>
            </w:r>
          </w:p>
        </w:tc>
        <w:tc>
          <w:tcPr>
            <w:tcW w:w="7049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根据福利院的实际情况，结合本次项目需求，提供详细的解决方案。按优良中差打分。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优秀得8-10分，良好得5-7分，中得1-4分，差得0分。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安装工期</w:t>
            </w:r>
          </w:p>
        </w:tc>
        <w:tc>
          <w:tcPr>
            <w:tcW w:w="709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7049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根据参选人承诺从签定合同至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项目调试结束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 xml:space="preserve">的时间进行评分： 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1、承诺从签定合同至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系统调试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的时间小于或等于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天，得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 xml:space="preserve">分； 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2、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安装工期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每增加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天扣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分，大于或等于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天不得分。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注：须提供承诺函，未提供或未承诺不得分。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项目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团队服务能力</w:t>
            </w:r>
          </w:p>
        </w:tc>
        <w:tc>
          <w:tcPr>
            <w:tcW w:w="709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7049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在基本承诺之外，提供具备充足的专家技术支援团队，对本项目有增值意义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1、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参选人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具有ITSS服务工程师证书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，得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分；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2、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参选人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具有机械设备修理人员设备点检员证书，得1分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 xml:space="preserve">； 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3、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参选人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具有安全员A证证书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，得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提供官方查询截图证明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 xml:space="preserve">。 </w:t>
            </w:r>
          </w:p>
          <w:p>
            <w:pPr>
              <w:numPr>
                <w:ilvl w:val="0"/>
                <w:numId w:val="2"/>
              </w:numPr>
              <w:snapToGrid w:val="0"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参选人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具有安全员C证证书，得1分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提供官方查询截图证明。</w:t>
            </w:r>
          </w:p>
          <w:p>
            <w:pPr>
              <w:numPr>
                <w:ilvl w:val="0"/>
                <w:numId w:val="2"/>
              </w:numPr>
              <w:snapToGrid w:val="0"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参选人具有所投监控品牌的代理资格证书得1分。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注：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以上证书人员需要提供自投标日期前过去1年内任一月的有效社保在职证明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售后服务</w:t>
            </w:r>
          </w:p>
        </w:tc>
        <w:tc>
          <w:tcPr>
            <w:tcW w:w="709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049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1、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所有产品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在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质保期内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，参选人承诺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提供上门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免费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服务及免费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提供关键设备临时替换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与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技术服务，得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分。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2、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提供监控原厂商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产品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质保期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承诺：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承诺产品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质保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期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年得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分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承诺产品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质保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期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或以上得2分，不承诺不得分。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3、投标人承诺整体项目保修期为3年的得1分，为4年或以上的得2分，不承诺不得分。</w:t>
            </w:r>
          </w:p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注：须提供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原厂商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承诺函，未提供或未承诺不得分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此项满分5分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7049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售后服务计划保障有力、组织合理、提供原厂服务，故障相应时间满足规范要求、发生故障要求问题响应时间≤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30分钟；到达现场时间≤6小时；故障解决时间≤8小时。全部满足得</w:t>
            </w:r>
            <w:r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Cs w:val="21"/>
              </w:rPr>
              <w:t>分，每一项不满足扣1分。须提供承诺函，不提供或未承诺不得分。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价格部分</w:t>
            </w:r>
          </w:p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0分）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评审价确定</w:t>
            </w:r>
          </w:p>
        </w:tc>
        <w:tc>
          <w:tcPr>
            <w:tcW w:w="7758" w:type="dxa"/>
            <w:gridSpan w:val="2"/>
            <w:vAlign w:val="center"/>
          </w:tcPr>
          <w:p>
            <w:pPr>
              <w:wordWrap w:val="0"/>
              <w:snapToGrid w:val="0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本项目以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投标价</w:t>
            </w: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  <w:t>作为评审价格。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Cs w:val="21"/>
              </w:rPr>
              <w:t>评选基准价及评审价格评分计算方法</w:t>
            </w:r>
          </w:p>
        </w:tc>
        <w:tc>
          <w:tcPr>
            <w:tcW w:w="7758" w:type="dxa"/>
            <w:gridSpan w:val="2"/>
            <w:vAlign w:val="center"/>
          </w:tcPr>
          <w:p>
            <w:pPr>
              <w:wordWrap w:val="0"/>
              <w:snapToGrid w:val="0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按招标文件报价最低评审为满分，并以此报价为基准指标。价格的中文大写与阿拉伯数字不一致时，以中文大写为准。其他投标人的价格得分统一按照下列公式计算（精确到0.01）：</w:t>
            </w:r>
          </w:p>
          <w:p>
            <w:pPr>
              <w:wordWrap w:val="0"/>
              <w:snapToGrid w:val="0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投标价格得分=30*（1-（投标报价-基准指标）/基准指标）</w:t>
            </w:r>
          </w:p>
          <w:p>
            <w:pPr>
              <w:wordWrap w:val="0"/>
              <w:snapToGrid w:val="0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  <w:t>备注：投标报价低于预算价60%时，需要投标人出示完整的产品成本说明文件。</w:t>
            </w:r>
          </w:p>
          <w:p>
            <w:pPr>
              <w:wordWrap w:val="0"/>
              <w:snapToGrid w:val="0"/>
              <w:rPr>
                <w:rFonts w:hint="default" w:ascii="Times New Roman" w:hAnsi="Times New Roman" w:cs="Times New Roman" w:eastAsiaTheme="minorEastAsia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备注：如未按要求提交</w:t>
      </w: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  <w:lang w:val="en-US" w:eastAsia="zh-CN"/>
        </w:rPr>
        <w:t>相关资料</w:t>
      </w:r>
      <w:r>
        <w:rPr>
          <w:rFonts w:hint="default" w:ascii="Times New Roman" w:hAnsi="Times New Roman" w:eastAsia="仿宋_GB2312" w:cs="Times New Roman"/>
          <w:b/>
          <w:color w:val="000000"/>
          <w:sz w:val="28"/>
          <w:szCs w:val="28"/>
        </w:rPr>
        <w:t>的，该项评分为零分。</w:t>
      </w:r>
    </w:p>
    <w:p>
      <w:pPr>
        <w:rPr>
          <w:rFonts w:hint="default" w:ascii="Times New Roman" w:hAnsi="Times New Roman" w:eastAsia="仿宋_GB2312" w:cs="Times New Roman"/>
          <w:b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b/>
          <w:color w:val="000000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东山福利院护养区和东山苑视频监控项目分项评分和汇总排名</w:t>
      </w:r>
    </w:p>
    <w:p>
      <w:pPr>
        <w:jc w:val="center"/>
        <w:rPr>
          <w:rFonts w:hint="default" w:ascii="Times New Roman" w:hAnsi="Times New Roman" w:cs="Times New Roman" w:eastAsiaTheme="minorEastAsia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分值：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满分100分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商务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技术评价：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0分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价格评价：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0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</w:rPr>
        <w:t>分</w:t>
      </w: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eastAsia="zh-CN"/>
        </w:rPr>
        <w:t>）</w:t>
      </w:r>
    </w:p>
    <w:tbl>
      <w:tblPr>
        <w:tblStyle w:val="9"/>
        <w:tblW w:w="8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583"/>
        <w:gridCol w:w="1212"/>
        <w:gridCol w:w="1350"/>
        <w:gridCol w:w="1278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9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参选单位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Xx公司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Xx公司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Xx公司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49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商务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技术评价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0" w:lineRule="atLeas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1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价格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  <w:t>评价部分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30分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83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评分方法如下：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按招标文件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价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最低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评审为满分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并以此报价为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基准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指标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价格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的中文大写与阿拉伯数字不一致时，以中文大写为准。其他投标人的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价格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得分统一按照下列公式计算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精确到0.01）：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投标价格得分=30×（1- （投标报价-基准指标）/基准指标）</w:t>
            </w:r>
          </w:p>
        </w:tc>
        <w:tc>
          <w:tcPr>
            <w:tcW w:w="12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132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价格分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0分）</w:t>
            </w:r>
          </w:p>
        </w:tc>
        <w:tc>
          <w:tcPr>
            <w:tcW w:w="13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9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  <w:t>汇总得分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汇总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推荐中标候选机构名单：本项目推荐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名中标候选机构。将各有效投标机构按其评审总得分由高到低顺序排列，评审总得分相同的，按下列顺序比较确定：1.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价格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（由高到低）；2.技术、商务评分（由高到低）。如以上都相同的，名次由评审委员会抽签确定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排名第一的投标机构为第一中标候选机构。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79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评委签字：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bookmarkEnd w:id="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C23E7F"/>
    <w:multiLevelType w:val="singleLevel"/>
    <w:tmpl w:val="CEC23E7F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F8BF881"/>
    <w:multiLevelType w:val="singleLevel"/>
    <w:tmpl w:val="6F8BF88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GNmNGZjOTdhNGMyM2ZmMDYzYTQzYTJkMjc5OTYifQ=="/>
  </w:docVars>
  <w:rsids>
    <w:rsidRoot w:val="008A4494"/>
    <w:rsid w:val="000274AF"/>
    <w:rsid w:val="002F07BC"/>
    <w:rsid w:val="003445ED"/>
    <w:rsid w:val="003A34F7"/>
    <w:rsid w:val="00423A82"/>
    <w:rsid w:val="0043440D"/>
    <w:rsid w:val="005D3BE1"/>
    <w:rsid w:val="00767360"/>
    <w:rsid w:val="008A4494"/>
    <w:rsid w:val="009032C5"/>
    <w:rsid w:val="00A10F57"/>
    <w:rsid w:val="00B53B72"/>
    <w:rsid w:val="00CE188D"/>
    <w:rsid w:val="00D06640"/>
    <w:rsid w:val="00DB3CE6"/>
    <w:rsid w:val="044033CE"/>
    <w:rsid w:val="049976BF"/>
    <w:rsid w:val="056F613F"/>
    <w:rsid w:val="0C9B40AB"/>
    <w:rsid w:val="10901380"/>
    <w:rsid w:val="11027750"/>
    <w:rsid w:val="116602C0"/>
    <w:rsid w:val="17347F2B"/>
    <w:rsid w:val="1741214E"/>
    <w:rsid w:val="1B40532D"/>
    <w:rsid w:val="1B9325A0"/>
    <w:rsid w:val="1C0B472F"/>
    <w:rsid w:val="1EA86FD1"/>
    <w:rsid w:val="1EBD0E10"/>
    <w:rsid w:val="22687512"/>
    <w:rsid w:val="228166C8"/>
    <w:rsid w:val="25952EA0"/>
    <w:rsid w:val="25B70123"/>
    <w:rsid w:val="28805783"/>
    <w:rsid w:val="2BA26A28"/>
    <w:rsid w:val="2DA07DB2"/>
    <w:rsid w:val="2E173AE6"/>
    <w:rsid w:val="304434C5"/>
    <w:rsid w:val="31AE035B"/>
    <w:rsid w:val="360C43AB"/>
    <w:rsid w:val="3836470B"/>
    <w:rsid w:val="3D832414"/>
    <w:rsid w:val="3FE67B37"/>
    <w:rsid w:val="4158638B"/>
    <w:rsid w:val="478875C4"/>
    <w:rsid w:val="489A2A47"/>
    <w:rsid w:val="4ACC2DFD"/>
    <w:rsid w:val="551847CA"/>
    <w:rsid w:val="578C2303"/>
    <w:rsid w:val="5C95562F"/>
    <w:rsid w:val="613A5C78"/>
    <w:rsid w:val="64E01D3C"/>
    <w:rsid w:val="653F305B"/>
    <w:rsid w:val="65E95950"/>
    <w:rsid w:val="67B50207"/>
    <w:rsid w:val="6B257AFE"/>
    <w:rsid w:val="6CBC7404"/>
    <w:rsid w:val="6F3978BB"/>
    <w:rsid w:val="705E2052"/>
    <w:rsid w:val="70C013B5"/>
    <w:rsid w:val="744425E7"/>
    <w:rsid w:val="77EB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paragraph" w:customStyle="1" w:styleId="13">
    <w:name w:val="正文文本 (3)"/>
    <w:basedOn w:val="1"/>
    <w:qFormat/>
    <w:uiPriority w:val="0"/>
    <w:pPr>
      <w:shd w:val="clear" w:color="auto" w:fill="FFFFFF"/>
      <w:spacing w:before="540" w:after="240" w:line="240" w:lineRule="atLeast"/>
      <w:jc w:val="center"/>
    </w:pPr>
    <w:rPr>
      <w:rFonts w:ascii="微软雅黑" w:eastAsia="微软雅黑"/>
      <w:b/>
      <w:bCs/>
      <w:szCs w:val="21"/>
    </w:rPr>
  </w:style>
  <w:style w:type="character" w:customStyle="1" w:styleId="14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2549</Words>
  <Characters>2649</Characters>
  <Lines>24</Lines>
  <Paragraphs>6</Paragraphs>
  <TotalTime>0</TotalTime>
  <ScaleCrop>false</ScaleCrop>
  <LinksUpToDate>false</LinksUpToDate>
  <CharactersWithSpaces>2690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2021-08-07T15:26:00Z</dcterms:created>
  <dc:creator>Ultra</dc:creator>
  <cp:lastModifiedBy>越秀民政</cp:lastModifiedBy>
  <cp:lastPrinted>2021-08-09T02:44:00Z</cp:lastPrinted>
  <dcterms:modified xsi:type="dcterms:W3CDTF">2023-06-12T09:41:18Z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5F5D1CC0478E433EB11225AEF3C915FC_13</vt:lpwstr>
  </property>
</Properties>
</file>