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0" w:firstLineChars="0"/>
        <w:rPr>
          <w:rFonts w:eastAsia="黑体"/>
        </w:rPr>
      </w:pPr>
      <w:r>
        <w:rPr>
          <w:rFonts w:eastAsia="黑体"/>
        </w:rPr>
        <w:drawing>
          <wp:anchor distT="0" distB="0" distL="114300" distR="114300" simplePos="0" relativeHeight="251663360" behindDoc="0" locked="0" layoutInCell="1" allowOverlap="1">
            <wp:simplePos x="0" y="0"/>
            <wp:positionH relativeFrom="column">
              <wp:posOffset>35560</wp:posOffset>
            </wp:positionH>
            <wp:positionV relativeFrom="paragraph">
              <wp:posOffset>22225</wp:posOffset>
            </wp:positionV>
            <wp:extent cx="617220" cy="655955"/>
            <wp:effectExtent l="0" t="0" r="0" b="0"/>
            <wp:wrapSquare wrapText="bothSides"/>
            <wp:docPr id="2" name="图片 17" descr="水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7" descr="水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617220" cy="655955"/>
                    </a:xfrm>
                    <a:prstGeom prst="rect">
                      <a:avLst/>
                    </a:prstGeom>
                    <a:noFill/>
                    <a:ln>
                      <a:noFill/>
                    </a:ln>
                  </pic:spPr>
                </pic:pic>
              </a:graphicData>
            </a:graphic>
          </wp:anchor>
        </w:drawing>
      </w:r>
      <w:r>
        <w:rPr>
          <w:rFonts w:eastAsia="黑体"/>
        </w:rPr>
        <w:t>资信甲、乙级证号：9144010145535119XP-18ZYJ18、18ZYY18</w:t>
      </w:r>
    </w:p>
    <w:p>
      <w:pPr>
        <w:spacing w:line="240" w:lineRule="auto"/>
        <w:ind w:firstLine="0" w:firstLineChars="0"/>
        <w:rPr>
          <w:rFonts w:eastAsia="黑体"/>
        </w:rPr>
      </w:pPr>
      <w:r>
        <w:rPr>
          <w:rFonts w:eastAsia="黑体"/>
        </w:rPr>
        <w:t>设计甲、乙级证号：A144000713、A244000710</w:t>
      </w:r>
    </w:p>
    <w:p>
      <w:pPr>
        <w:spacing w:line="240" w:lineRule="auto"/>
        <w:ind w:firstLine="0" w:firstLineChars="0"/>
        <w:rPr>
          <w:rFonts w:eastAsia="黑体"/>
        </w:rPr>
      </w:pPr>
      <w:r>
        <w:rPr>
          <w:rFonts w:eastAsia="黑体"/>
        </w:rPr>
        <w:t>勘察乙级证号：B244000710</w:t>
      </w:r>
    </w:p>
    <w:p>
      <w:pPr>
        <w:ind w:firstLine="560"/>
        <w:rPr>
          <w:sz w:val="28"/>
        </w:rPr>
      </w:pPr>
    </w:p>
    <w:p>
      <w:pPr>
        <w:ind w:firstLine="480"/>
      </w:pPr>
    </w:p>
    <w:p>
      <w:pPr>
        <w:ind w:firstLine="480"/>
      </w:pPr>
    </w:p>
    <w:p>
      <w:pPr>
        <w:ind w:firstLine="0" w:firstLineChars="0"/>
        <w:jc w:val="center"/>
        <w:rPr>
          <w:sz w:val="44"/>
          <w:szCs w:val="44"/>
        </w:rPr>
      </w:pPr>
      <w:r>
        <w:rPr>
          <w:rFonts w:hint="eastAsia"/>
          <w:sz w:val="44"/>
          <w:szCs w:val="44"/>
        </w:rPr>
        <w:t>越秀区堤防工程范围及水利工程范围划界项目</w:t>
      </w:r>
    </w:p>
    <w:p>
      <w:pPr>
        <w:ind w:firstLine="0" w:firstLineChars="0"/>
        <w:jc w:val="center"/>
        <w:rPr>
          <w:sz w:val="44"/>
          <w:szCs w:val="44"/>
        </w:rPr>
      </w:pPr>
      <w:r>
        <w:rPr>
          <w:rFonts w:hint="eastAsia"/>
          <w:sz w:val="44"/>
          <w:szCs w:val="44"/>
        </w:rPr>
        <w:t>成果技术说明</w:t>
      </w:r>
      <w:r>
        <w:rPr>
          <w:sz w:val="44"/>
          <w:szCs w:val="44"/>
        </w:rPr>
        <w:t>及图册</w:t>
      </w:r>
    </w:p>
    <w:p>
      <w:pPr>
        <w:ind w:firstLine="0" w:firstLineChars="0"/>
        <w:jc w:val="center"/>
        <w:rPr>
          <w:sz w:val="44"/>
          <w:szCs w:val="44"/>
        </w:rPr>
      </w:pPr>
    </w:p>
    <w:p>
      <w:pPr>
        <w:ind w:firstLine="0" w:firstLineChars="0"/>
        <w:jc w:val="center"/>
        <w:rPr>
          <w:sz w:val="44"/>
          <w:szCs w:val="44"/>
        </w:rPr>
      </w:pPr>
    </w:p>
    <w:p>
      <w:pPr>
        <w:ind w:firstLine="0" w:firstLineChars="0"/>
        <w:jc w:val="center"/>
        <w:rPr>
          <w:sz w:val="44"/>
          <w:szCs w:val="44"/>
        </w:rPr>
      </w:pPr>
    </w:p>
    <w:p>
      <w:pPr>
        <w:ind w:firstLine="0" w:firstLineChars="0"/>
        <w:jc w:val="center"/>
        <w:rPr>
          <w:sz w:val="32"/>
          <w:szCs w:val="32"/>
        </w:rPr>
      </w:pPr>
      <w:r>
        <w:rPr>
          <w:rFonts w:hint="eastAsia"/>
          <w:sz w:val="32"/>
          <w:szCs w:val="32"/>
        </w:rPr>
        <w:t>广州市水务规划勘测设计研究院</w:t>
      </w:r>
    </w:p>
    <w:p>
      <w:pPr>
        <w:ind w:firstLine="0" w:firstLineChars="0"/>
        <w:jc w:val="center"/>
        <w:rPr>
          <w:sz w:val="32"/>
          <w:szCs w:val="32"/>
        </w:rPr>
      </w:pPr>
      <w:r>
        <w:rPr>
          <w:sz w:val="32"/>
          <w:szCs w:val="32"/>
        </w:rPr>
        <w:t>2020.11</w:t>
      </w:r>
    </w:p>
    <w:sdt>
      <w:sdtPr>
        <w:rPr>
          <w:rFonts w:ascii="Times New Roman" w:hAnsi="Times New Roman" w:eastAsia="宋体" w:cs="Times New Roman"/>
          <w:color w:val="auto"/>
          <w:kern w:val="2"/>
          <w:sz w:val="24"/>
          <w:szCs w:val="22"/>
          <w:lang w:val="zh-CN"/>
        </w:rPr>
        <w:id w:val="1463385679"/>
        <w:docPartObj>
          <w:docPartGallery w:val="Table of Contents"/>
          <w:docPartUnique/>
        </w:docPartObj>
      </w:sdtPr>
      <w:sdtEndPr>
        <w:rPr>
          <w:rFonts w:ascii="Times New Roman" w:hAnsi="Times New Roman" w:eastAsia="宋体" w:cs="Times New Roman"/>
          <w:b/>
          <w:bCs/>
          <w:color w:val="auto"/>
          <w:kern w:val="2"/>
          <w:sz w:val="24"/>
          <w:szCs w:val="22"/>
          <w:lang w:val="zh-CN"/>
        </w:rPr>
      </w:sdtEndPr>
      <w:sdtContent>
        <w:p>
          <w:pPr>
            <w:pStyle w:val="53"/>
            <w:ind w:firstLine="480"/>
          </w:pPr>
          <w:r>
            <w:rPr>
              <w:lang w:val="zh-CN"/>
            </w:rPr>
            <w:t>目录</w:t>
          </w:r>
        </w:p>
        <w:p>
          <w:pPr>
            <w:pStyle w:val="10"/>
            <w:tabs>
              <w:tab w:val="right" w:leader="dot" w:pos="13950"/>
            </w:tabs>
            <w:ind w:firstLine="480"/>
            <w:rPr>
              <w:rFonts w:asciiTheme="minorHAnsi" w:hAnsiTheme="minorHAnsi" w:eastAsiaTheme="minorEastAsia" w:cstheme="minorBidi"/>
              <w:sz w:val="21"/>
            </w:rPr>
          </w:pPr>
          <w:r>
            <w:fldChar w:fldCharType="begin"/>
          </w:r>
          <w:r>
            <w:instrText xml:space="preserve"> TOC \o "1-3" \h \z \u </w:instrText>
          </w:r>
          <w:r>
            <w:fldChar w:fldCharType="separate"/>
          </w:r>
          <w:r>
            <w:fldChar w:fldCharType="begin"/>
          </w:r>
          <w:r>
            <w:instrText xml:space="preserve"> HYPERLINK \l "_Toc57638878" </w:instrText>
          </w:r>
          <w:r>
            <w:fldChar w:fldCharType="separate"/>
          </w:r>
          <w:r>
            <w:rPr>
              <w:rStyle w:val="14"/>
              <w:b/>
            </w:rPr>
            <w:t>一、项目背景及任务</w:t>
          </w:r>
          <w:r>
            <w:tab/>
          </w:r>
          <w:r>
            <w:fldChar w:fldCharType="begin"/>
          </w:r>
          <w:r>
            <w:instrText xml:space="preserve"> PAGEREF _Toc57638878 \h </w:instrText>
          </w:r>
          <w:r>
            <w:fldChar w:fldCharType="separate"/>
          </w:r>
          <w:r>
            <w:t>1</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"_Toc57638879" </w:instrText>
          </w:r>
          <w:r>
            <w:fldChar w:fldCharType="separate"/>
          </w:r>
          <w:r>
            <w:rPr>
              <w:rStyle w:val="14"/>
              <w:b/>
            </w:rPr>
            <w:t>1、背景</w:t>
          </w:r>
          <w:r>
            <w:tab/>
          </w:r>
          <w:r>
            <w:fldChar w:fldCharType="begin"/>
          </w:r>
          <w:r>
            <w:instrText xml:space="preserve"> PAGEREF _Toc57638879 \h </w:instrText>
          </w:r>
          <w:r>
            <w:fldChar w:fldCharType="separate"/>
          </w:r>
          <w:r>
            <w:t>1</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"_Toc57638880" </w:instrText>
          </w:r>
          <w:r>
            <w:fldChar w:fldCharType="separate"/>
          </w:r>
          <w:r>
            <w:rPr>
              <w:rStyle w:val="14"/>
              <w:b/>
            </w:rPr>
            <w:t>2、任务</w:t>
          </w:r>
          <w:r>
            <w:tab/>
          </w:r>
          <w:r>
            <w:fldChar w:fldCharType="begin"/>
          </w:r>
          <w:r>
            <w:instrText xml:space="preserve"> PAGEREF _Toc57638880 \h </w:instrText>
          </w:r>
          <w:r>
            <w:fldChar w:fldCharType="separate"/>
          </w:r>
          <w:r>
            <w:t>1</w:t>
          </w:r>
          <w:r>
            <w:fldChar w:fldCharType="end"/>
          </w:r>
          <w:r>
            <w:fldChar w:fldCharType="end"/>
          </w:r>
        </w:p>
        <w:p>
          <w:pPr>
            <w:pStyle w:val="10"/>
            <w:tabs>
              <w:tab w:val="right" w:leader="dot" w:pos="13950"/>
            </w:tabs>
            <w:ind w:firstLine="480"/>
            <w:rPr>
              <w:rFonts w:asciiTheme="minorHAnsi" w:hAnsiTheme="minorHAnsi" w:eastAsiaTheme="minorEastAsia" w:cstheme="minorBidi"/>
              <w:sz w:val="21"/>
            </w:rPr>
          </w:pPr>
          <w:r>
            <w:fldChar w:fldCharType="begin"/>
          </w:r>
          <w:r>
            <w:instrText xml:space="preserve"> HYPERLINK \l "_Toc57638881" </w:instrText>
          </w:r>
          <w:r>
            <w:fldChar w:fldCharType="separate"/>
          </w:r>
          <w:r>
            <w:rPr>
              <w:rStyle w:val="14"/>
              <w:b/>
            </w:rPr>
            <w:t>二、项目依据</w:t>
          </w:r>
          <w:r>
            <w:tab/>
          </w:r>
          <w:r>
            <w:fldChar w:fldCharType="begin"/>
          </w:r>
          <w:r>
            <w:instrText xml:space="preserve"> PAGEREF _Toc57638881 \h </w:instrText>
          </w:r>
          <w:r>
            <w:fldChar w:fldCharType="separate"/>
          </w:r>
          <w:r>
            <w:t>4</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"_Toc57638882" </w:instrText>
          </w:r>
          <w:r>
            <w:fldChar w:fldCharType="separate"/>
          </w:r>
          <w:r>
            <w:rPr>
              <w:rStyle w:val="14"/>
              <w:b/>
            </w:rPr>
            <w:t>1、法律、法规</w:t>
          </w:r>
          <w:r>
            <w:tab/>
          </w:r>
          <w:r>
            <w:fldChar w:fldCharType="begin"/>
          </w:r>
          <w:r>
            <w:instrText xml:space="preserve"> PAGEREF _Toc57638882 \h </w:instrText>
          </w:r>
          <w:r>
            <w:fldChar w:fldCharType="separate"/>
          </w:r>
          <w:r>
            <w:t>4</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"_Toc57638883" </w:instrText>
          </w:r>
          <w:r>
            <w:fldChar w:fldCharType="separate"/>
          </w:r>
          <w:r>
            <w:rPr>
              <w:rStyle w:val="14"/>
              <w:b/>
            </w:rPr>
            <w:t>2、规程、规范</w:t>
          </w:r>
          <w:r>
            <w:tab/>
          </w:r>
          <w:r>
            <w:fldChar w:fldCharType="begin"/>
          </w:r>
          <w:r>
            <w:instrText xml:space="preserve"> PAGEREF _Toc57638883 \h </w:instrText>
          </w:r>
          <w:r>
            <w:fldChar w:fldCharType="separate"/>
          </w:r>
          <w:r>
            <w:t>4</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"_Toc57638884" </w:instrText>
          </w:r>
          <w:r>
            <w:fldChar w:fldCharType="separate"/>
          </w:r>
          <w:r>
            <w:rPr>
              <w:rStyle w:val="14"/>
              <w:b/>
            </w:rPr>
            <w:t>3、基础资料</w:t>
          </w:r>
          <w:r>
            <w:tab/>
          </w:r>
          <w:r>
            <w:fldChar w:fldCharType="begin"/>
          </w:r>
          <w:r>
            <w:instrText xml:space="preserve"> PAGEREF _Toc57638884 \h </w:instrText>
          </w:r>
          <w:r>
            <w:fldChar w:fldCharType="separate"/>
          </w:r>
          <w:r>
            <w:t>5</w:t>
          </w:r>
          <w:r>
            <w:fldChar w:fldCharType="end"/>
          </w:r>
          <w:r>
            <w:fldChar w:fldCharType="end"/>
          </w:r>
        </w:p>
        <w:p>
          <w:pPr>
            <w:pStyle w:val="10"/>
            <w:tabs>
              <w:tab w:val="right" w:leader="dot" w:pos="13950"/>
            </w:tabs>
            <w:ind w:firstLine="480"/>
            <w:rPr>
              <w:rFonts w:asciiTheme="minorHAnsi" w:hAnsiTheme="minorHAnsi" w:eastAsiaTheme="minorEastAsia" w:cstheme="minorBidi"/>
              <w:sz w:val="21"/>
            </w:rPr>
          </w:pPr>
          <w:r>
            <w:fldChar w:fldCharType="begin"/>
          </w:r>
          <w:r>
            <w:instrText xml:space="preserve"> HYPERLINK \l "_Toc57638885" </w:instrText>
          </w:r>
          <w:r>
            <w:fldChar w:fldCharType="separate"/>
          </w:r>
          <w:r>
            <w:rPr>
              <w:rStyle w:val="14"/>
              <w:b/>
            </w:rPr>
            <w:t>三、基本情况</w:t>
          </w:r>
          <w:r>
            <w:tab/>
          </w:r>
          <w:r>
            <w:fldChar w:fldCharType="begin"/>
          </w:r>
          <w:r>
            <w:instrText xml:space="preserve"> PAGEREF _Toc57638885 \h </w:instrText>
          </w:r>
          <w:r>
            <w:fldChar w:fldCharType="separate"/>
          </w:r>
          <w:r>
            <w:t>7</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"_Toc57638886" </w:instrText>
          </w:r>
          <w:r>
            <w:fldChar w:fldCharType="separate"/>
          </w:r>
          <w:r>
            <w:rPr>
              <w:rStyle w:val="14"/>
              <w:b/>
            </w:rPr>
            <w:t>1、水闸泵站工程</w:t>
          </w:r>
          <w:r>
            <w:tab/>
          </w:r>
          <w:r>
            <w:fldChar w:fldCharType="begin"/>
          </w:r>
          <w:r>
            <w:instrText xml:space="preserve"> PAGEREF _Toc57638886 \h </w:instrText>
          </w:r>
          <w:r>
            <w:fldChar w:fldCharType="separate"/>
          </w:r>
          <w:r>
            <w:t>7</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"_Toc57638887" </w:instrText>
          </w:r>
          <w:r>
            <w:fldChar w:fldCharType="separate"/>
          </w:r>
          <w:r>
            <w:rPr>
              <w:rStyle w:val="14"/>
              <w:b/>
            </w:rPr>
            <w:t>2、堤防工程</w:t>
          </w:r>
          <w:r>
            <w:tab/>
          </w:r>
          <w:r>
            <w:fldChar w:fldCharType="begin"/>
          </w:r>
          <w:r>
            <w:instrText xml:space="preserve"> PAGEREF _Toc57638887 \h </w:instrText>
          </w:r>
          <w:r>
            <w:fldChar w:fldCharType="separate"/>
          </w:r>
          <w:r>
            <w:t>9</w:t>
          </w:r>
          <w:r>
            <w:fldChar w:fldCharType="end"/>
          </w:r>
          <w:r>
            <w:fldChar w:fldCharType="end"/>
          </w:r>
        </w:p>
        <w:p>
          <w:pPr>
            <w:pStyle w:val="10"/>
            <w:tabs>
              <w:tab w:val="right" w:leader="dot" w:pos="13950"/>
            </w:tabs>
            <w:ind w:firstLine="480"/>
            <w:rPr>
              <w:rFonts w:asciiTheme="minorHAnsi" w:hAnsiTheme="minorHAnsi" w:eastAsiaTheme="minorEastAsia" w:cstheme="minorBidi"/>
              <w:sz w:val="21"/>
            </w:rPr>
          </w:pPr>
          <w:r>
            <w:fldChar w:fldCharType="begin"/>
          </w:r>
          <w:r>
            <w:instrText xml:space="preserve"> HYPERLINK \l "_Toc57638888" </w:instrText>
          </w:r>
          <w:r>
            <w:fldChar w:fldCharType="separate"/>
          </w:r>
          <w:r>
            <w:rPr>
              <w:rStyle w:val="14"/>
              <w:b/>
            </w:rPr>
            <w:t>四、堤防工程及水利工程管理范围及保护范围划定</w:t>
          </w:r>
          <w:r>
            <w:tab/>
          </w:r>
          <w:r>
            <w:fldChar w:fldCharType="begin"/>
          </w:r>
          <w:r>
            <w:instrText xml:space="preserve"> PAGEREF _Toc57638888 \h </w:instrText>
          </w:r>
          <w:r>
            <w:fldChar w:fldCharType="separate"/>
          </w:r>
          <w:r>
            <w:t>11</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"_Toc57638889" </w:instrText>
          </w:r>
          <w:r>
            <w:fldChar w:fldCharType="separate"/>
          </w:r>
          <w:r>
            <w:rPr>
              <w:rStyle w:val="14"/>
              <w:b/>
            </w:rPr>
            <w:t>1、定义</w:t>
          </w:r>
          <w:r>
            <w:tab/>
          </w:r>
          <w:r>
            <w:fldChar w:fldCharType="begin"/>
          </w:r>
          <w:r>
            <w:instrText xml:space="preserve"> PAGEREF _Toc57638889 \h </w:instrText>
          </w:r>
          <w:r>
            <w:fldChar w:fldCharType="separate"/>
          </w:r>
          <w:r>
            <w:t>11</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"_Toc57638890" </w:instrText>
          </w:r>
          <w:r>
            <w:fldChar w:fldCharType="separate"/>
          </w:r>
          <w:r>
            <w:rPr>
              <w:rStyle w:val="14"/>
              <w:b/>
            </w:rPr>
            <w:t>2、划线技术依据</w:t>
          </w:r>
          <w:r>
            <w:tab/>
          </w:r>
          <w:r>
            <w:fldChar w:fldCharType="begin"/>
          </w:r>
          <w:r>
            <w:instrText xml:space="preserve"> PAGEREF _Toc57638890 \h </w:instrText>
          </w:r>
          <w:r>
            <w:fldChar w:fldCharType="separate"/>
          </w:r>
          <w:r>
            <w:t>14</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"_Toc57638891" </w:instrText>
          </w:r>
          <w:r>
            <w:fldChar w:fldCharType="separate"/>
          </w:r>
          <w:r>
            <w:rPr>
              <w:rStyle w:val="14"/>
              <w:b/>
            </w:rPr>
            <w:t>3、划定方法</w:t>
          </w:r>
          <w:r>
            <w:tab/>
          </w:r>
          <w:r>
            <w:fldChar w:fldCharType="begin"/>
          </w:r>
          <w:r>
            <w:instrText xml:space="preserve"> PAGEREF _Toc57638891 \h </w:instrText>
          </w:r>
          <w:r>
            <w:fldChar w:fldCharType="separate"/>
          </w:r>
          <w:r>
            <w:t>19</w:t>
          </w:r>
          <w:r>
            <w:fldChar w:fldCharType="end"/>
          </w:r>
          <w:r>
            <w:fldChar w:fldCharType="end"/>
          </w:r>
        </w:p>
        <w:p>
          <w:pPr>
            <w:pStyle w:val="11"/>
            <w:tabs>
              <w:tab w:val="right" w:leader="dot" w:pos="13950"/>
            </w:tabs>
            <w:ind w:left="480" w:firstLine="480"/>
            <w:rPr>
              <w:rFonts w:asciiTheme="minorHAnsi" w:hAnsiTheme="minorHAnsi" w:eastAsiaTheme="minorEastAsia" w:cstheme="minorBidi"/>
              <w:sz w:val="21"/>
            </w:rPr>
          </w:pPr>
          <w:r>
            <w:fldChar w:fldCharType="begin"/>
          </w:r>
          <w:r>
            <w:instrText xml:space="preserve"> HYPERLINK \l "_Toc57638892" </w:instrText>
          </w:r>
          <w:r>
            <w:fldChar w:fldCharType="separate"/>
          </w:r>
          <w:r>
            <w:rPr>
              <w:rStyle w:val="14"/>
              <w:b/>
            </w:rPr>
            <w:t>4、划线成果</w:t>
          </w:r>
          <w:r>
            <w:tab/>
          </w:r>
          <w:r>
            <w:fldChar w:fldCharType="begin"/>
          </w:r>
          <w:r>
            <w:instrText xml:space="preserve"> PAGEREF _Toc57638892 \h </w:instrText>
          </w:r>
          <w:r>
            <w:fldChar w:fldCharType="separate"/>
          </w:r>
          <w:r>
            <w:t>30</w:t>
          </w:r>
          <w:r>
            <w:fldChar w:fldCharType="end"/>
          </w:r>
          <w:r>
            <w:fldChar w:fldCharType="end"/>
          </w:r>
        </w:p>
        <w:p>
          <w:pPr>
            <w:pStyle w:val="10"/>
            <w:tabs>
              <w:tab w:val="right" w:leader="dot" w:pos="13950"/>
            </w:tabs>
            <w:ind w:firstLine="480"/>
            <w:rPr>
              <w:rFonts w:asciiTheme="minorHAnsi" w:hAnsiTheme="minorHAnsi" w:eastAsiaTheme="minorEastAsia" w:cstheme="minorBidi"/>
              <w:sz w:val="21"/>
            </w:rPr>
          </w:pPr>
          <w:r>
            <w:fldChar w:fldCharType="begin"/>
          </w:r>
          <w:r>
            <w:instrText xml:space="preserve"> HYPERLINK \l "_Toc57638893" </w:instrText>
          </w:r>
          <w:r>
            <w:fldChar w:fldCharType="separate"/>
          </w:r>
          <w:r>
            <w:rPr>
              <w:rStyle w:val="14"/>
              <w:b/>
            </w:rPr>
            <w:t>五、管理及保护范围相关规定、法律责任</w:t>
          </w:r>
          <w:r>
            <w:tab/>
          </w:r>
          <w:r>
            <w:fldChar w:fldCharType="begin"/>
          </w:r>
          <w:r>
            <w:instrText xml:space="preserve"> PAGEREF _Toc57638893 \h </w:instrText>
          </w:r>
          <w:r>
            <w:fldChar w:fldCharType="separate"/>
          </w:r>
          <w:r>
            <w:t>38</w:t>
          </w:r>
          <w:r>
            <w:fldChar w:fldCharType="end"/>
          </w:r>
          <w:r>
            <w:fldChar w:fldCharType="end"/>
          </w:r>
        </w:p>
        <w:p>
          <w:pPr>
            <w:pStyle w:val="10"/>
            <w:tabs>
              <w:tab w:val="right" w:leader="dot" w:pos="13950"/>
            </w:tabs>
            <w:ind w:firstLine="480"/>
            <w:rPr>
              <w:rFonts w:asciiTheme="minorHAnsi" w:hAnsiTheme="minorHAnsi" w:eastAsiaTheme="minorEastAsia" w:cstheme="minorBidi"/>
              <w:sz w:val="21"/>
            </w:rPr>
          </w:pPr>
          <w:r>
            <w:fldChar w:fldCharType="begin"/>
          </w:r>
          <w:r>
            <w:instrText xml:space="preserve"> HYPERLINK \l "_Toc57638894" </w:instrText>
          </w:r>
          <w:r>
            <w:fldChar w:fldCharType="separate"/>
          </w:r>
          <w:r>
            <w:rPr>
              <w:rStyle w:val="14"/>
              <w:b/>
            </w:rPr>
            <w:t>附图</w:t>
          </w:r>
          <w:r>
            <w:tab/>
          </w:r>
          <w:r>
            <w:fldChar w:fldCharType="begin"/>
          </w:r>
          <w:r>
            <w:instrText xml:space="preserve"> PAGEREF _Toc57638894 \h </w:instrText>
          </w:r>
          <w:r>
            <w:fldChar w:fldCharType="separate"/>
          </w:r>
          <w:r>
            <w:t>42</w:t>
          </w:r>
          <w:r>
            <w:fldChar w:fldCharType="end"/>
          </w:r>
          <w:r>
            <w:fldChar w:fldCharType="end"/>
          </w:r>
        </w:p>
        <w:p>
          <w:pPr>
            <w:ind w:firstLine="482"/>
          </w:pPr>
          <w:r>
            <w:rPr>
              <w:b/>
              <w:bCs/>
              <w:lang w:val="zh-CN"/>
            </w:rPr>
            <w:fldChar w:fldCharType="end"/>
          </w:r>
        </w:p>
      </w:sdtContent>
    </w:sdt>
    <w:p>
      <w:pPr>
        <w:ind w:firstLine="0" w:firstLineChars="0"/>
        <w:jc w:val="center"/>
        <w:rPr>
          <w:sz w:val="32"/>
          <w:szCs w:val="32"/>
        </w:rPr>
        <w:sectPr>
          <w:headerReference r:id="rId5" w:type="first"/>
          <w:footerReference r:id="rId8" w:type="first"/>
          <w:headerReference r:id="rId3" w:type="default"/>
          <w:footerReference r:id="rId6" w:type="default"/>
          <w:headerReference r:id="rId4" w:type="even"/>
          <w:footerReference r:id="rId7" w:type="even"/>
          <w:pgSz w:w="16840" w:h="11907" w:orient="landscape"/>
          <w:pgMar w:top="1797" w:right="1440" w:bottom="1797" w:left="1440" w:header="851" w:footer="992" w:gutter="0"/>
          <w:pgNumType w:start="1"/>
          <w:cols w:space="425" w:num="1"/>
          <w:docGrid w:type="linesAndChars" w:linePitch="326" w:charSpace="0"/>
        </w:sectPr>
      </w:pPr>
    </w:p>
    <w:p>
      <w:pPr>
        <w:widowControl/>
        <w:spacing w:line="240" w:lineRule="auto"/>
        <w:ind w:firstLine="0" w:firstLineChars="0"/>
        <w:jc w:val="left"/>
        <w:outlineLvl w:val="0"/>
        <w:rPr>
          <w:b/>
          <w:sz w:val="44"/>
          <w:szCs w:val="44"/>
        </w:rPr>
      </w:pPr>
      <w:bookmarkStart w:id="0" w:name="_Toc57638878"/>
      <w:r>
        <w:rPr>
          <w:rFonts w:hint="eastAsia"/>
          <w:b/>
          <w:sz w:val="44"/>
          <w:szCs w:val="44"/>
        </w:rPr>
        <w:t>一</w:t>
      </w:r>
      <w:r>
        <w:rPr>
          <w:b/>
          <w:sz w:val="44"/>
          <w:szCs w:val="44"/>
        </w:rPr>
        <w:t>、项目</w:t>
      </w:r>
      <w:r>
        <w:rPr>
          <w:rFonts w:hint="eastAsia"/>
          <w:b/>
          <w:sz w:val="44"/>
          <w:szCs w:val="44"/>
        </w:rPr>
        <w:t>背景</w:t>
      </w:r>
      <w:r>
        <w:rPr>
          <w:b/>
          <w:sz w:val="44"/>
          <w:szCs w:val="44"/>
        </w:rPr>
        <w:t>及任务</w:t>
      </w:r>
      <w:bookmarkEnd w:id="0"/>
    </w:p>
    <w:p>
      <w:pPr>
        <w:ind w:firstLine="562"/>
        <w:outlineLvl w:val="1"/>
        <w:rPr>
          <w:b/>
          <w:sz w:val="28"/>
        </w:rPr>
      </w:pPr>
      <w:bookmarkStart w:id="1" w:name="_Toc57638879"/>
      <w:r>
        <w:rPr>
          <w:rFonts w:hint="eastAsia"/>
          <w:b/>
          <w:sz w:val="28"/>
        </w:rPr>
        <w:t>1、背景</w:t>
      </w:r>
      <w:bookmarkEnd w:id="1"/>
    </w:p>
    <w:p>
      <w:pPr>
        <w:ind w:firstLine="560"/>
        <w:rPr>
          <w:sz w:val="28"/>
        </w:rPr>
      </w:pPr>
      <w:r>
        <w:rPr>
          <w:rFonts w:hint="eastAsia"/>
          <w:sz w:val="28"/>
        </w:rPr>
        <w:t>根据《水利部办公厅关于开展河湖管理范围和水利工程管理与保护范围划定工作的通知》，《广州市水务局关于印发河湖管理范围和水利工程管理与保护范围划界确权工作实施方案的通知（穗水农村〔2019〕16号）》等文件，要求依法划定水利工程管理和保护范围，明确管理界线，设立界桩等保护标志，推进建立范围明确、权属清晰、责任落实的河湖管理和水利工程管理保护责任体系。</w:t>
      </w:r>
    </w:p>
    <w:p>
      <w:pPr>
        <w:ind w:firstLine="562"/>
        <w:outlineLvl w:val="1"/>
        <w:rPr>
          <w:b/>
          <w:sz w:val="28"/>
        </w:rPr>
      </w:pPr>
      <w:bookmarkStart w:id="2" w:name="_Toc57638880"/>
      <w:r>
        <w:rPr>
          <w:b/>
          <w:sz w:val="28"/>
        </w:rPr>
        <w:t>2</w:t>
      </w:r>
      <w:r>
        <w:rPr>
          <w:rFonts w:hint="eastAsia"/>
          <w:b/>
          <w:sz w:val="28"/>
        </w:rPr>
        <w:t>、任务</w:t>
      </w:r>
      <w:bookmarkEnd w:id="2"/>
    </w:p>
    <w:p>
      <w:pPr>
        <w:ind w:firstLine="560"/>
        <w:rPr>
          <w:sz w:val="28"/>
        </w:rPr>
      </w:pPr>
      <w:r>
        <w:rPr>
          <w:rFonts w:hint="eastAsia"/>
          <w:sz w:val="28"/>
        </w:rPr>
        <w:t>根据《广州市河湖管理范围和水利工程管理与保护范围划界确权工作实施方案》等</w:t>
      </w:r>
      <w:r>
        <w:rPr>
          <w:sz w:val="28"/>
        </w:rPr>
        <w:t>文件的要求</w:t>
      </w:r>
      <w:r>
        <w:rPr>
          <w:rFonts w:hint="eastAsia"/>
          <w:sz w:val="28"/>
        </w:rPr>
        <w:t>，</w:t>
      </w:r>
      <w:r>
        <w:rPr>
          <w:sz w:val="28"/>
        </w:rPr>
        <w:t>要求在</w:t>
      </w:r>
      <w:r>
        <w:rPr>
          <w:rFonts w:hint="eastAsia"/>
          <w:sz w:val="28"/>
        </w:rPr>
        <w:t>2020年</w:t>
      </w:r>
      <w:r>
        <w:rPr>
          <w:sz w:val="28"/>
        </w:rPr>
        <w:t>底前</w:t>
      </w:r>
      <w:r>
        <w:rPr>
          <w:rFonts w:hint="eastAsia"/>
          <w:sz w:val="28"/>
        </w:rPr>
        <w:t>基本</w:t>
      </w:r>
      <w:r>
        <w:rPr>
          <w:sz w:val="28"/>
        </w:rPr>
        <w:t>完成水利工程</w:t>
      </w:r>
      <w:r>
        <w:rPr>
          <w:rFonts w:hint="eastAsia"/>
          <w:sz w:val="28"/>
        </w:rPr>
        <w:t>管理与保护范围划定工作。</w:t>
      </w:r>
    </w:p>
    <w:p>
      <w:pPr>
        <w:ind w:firstLine="560"/>
        <w:rPr>
          <w:sz w:val="28"/>
        </w:rPr>
      </w:pPr>
      <w:r>
        <w:rPr>
          <w:rFonts w:hint="eastAsia"/>
          <w:sz w:val="28"/>
        </w:rPr>
        <w:t>本项目</w:t>
      </w:r>
      <w:r>
        <w:rPr>
          <w:sz w:val="28"/>
        </w:rPr>
        <w:t>任务为</w:t>
      </w:r>
      <w:r>
        <w:rPr>
          <w:rFonts w:hint="eastAsia"/>
          <w:sz w:val="28"/>
        </w:rPr>
        <w:t>对越秀区河涌堤防及水闸泵站等水利工程，划定工程管理范围和保护范围。越秀区共水闸1</w:t>
      </w:r>
      <w:r>
        <w:rPr>
          <w:sz w:val="28"/>
        </w:rPr>
        <w:t>3</w:t>
      </w:r>
      <w:r>
        <w:rPr>
          <w:rFonts w:hint="eastAsia"/>
          <w:sz w:val="28"/>
        </w:rPr>
        <w:t>座，泵站3座以及河涌堤防6条，</w:t>
      </w:r>
      <w:r>
        <w:rPr>
          <w:sz w:val="28"/>
        </w:rPr>
        <w:t>名录表如下。</w:t>
      </w:r>
    </w:p>
    <w:p>
      <w:pPr>
        <w:ind w:firstLine="560"/>
        <w:rPr>
          <w:sz w:val="28"/>
        </w:rPr>
      </w:pPr>
    </w:p>
    <w:p>
      <w:pPr>
        <w:ind w:firstLine="560"/>
        <w:rPr>
          <w:sz w:val="28"/>
        </w:rPr>
      </w:pPr>
    </w:p>
    <w:p>
      <w:pPr>
        <w:pStyle w:val="21"/>
        <w:rPr>
          <w:sz w:val="28"/>
        </w:rPr>
      </w:pPr>
      <w:r>
        <w:rPr>
          <w:rFonts w:hint="eastAsia"/>
          <w:sz w:val="28"/>
        </w:rPr>
        <w:t>表1-1 越秀区</w:t>
      </w:r>
      <w:r>
        <w:rPr>
          <w:sz w:val="28"/>
        </w:rPr>
        <w:t>水利工程划界</w:t>
      </w:r>
      <w:r>
        <w:rPr>
          <w:rFonts w:hint="eastAsia"/>
          <w:sz w:val="28"/>
        </w:rPr>
        <w:t>工程任务</w:t>
      </w:r>
      <w:r>
        <w:rPr>
          <w:sz w:val="28"/>
        </w:rPr>
        <w:t>名录表</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02"/>
        <w:gridCol w:w="5222"/>
        <w:gridCol w:w="3677"/>
        <w:gridCol w:w="36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trPr>
        <w:tc>
          <w:tcPr>
            <w:tcW w:w="565" w:type="pct"/>
            <w:shd w:val="clear" w:color="auto" w:fill="auto"/>
            <w:noWrap/>
            <w:vAlign w:val="center"/>
          </w:tcPr>
          <w:p>
            <w:pPr>
              <w:pStyle w:val="19"/>
              <w:rPr>
                <w:b/>
                <w:sz w:val="28"/>
                <w:szCs w:val="24"/>
              </w:rPr>
            </w:pPr>
            <w:r>
              <w:rPr>
                <w:rFonts w:hint="eastAsia"/>
                <w:b/>
                <w:sz w:val="28"/>
                <w:szCs w:val="24"/>
              </w:rPr>
              <w:t>序号</w:t>
            </w:r>
          </w:p>
        </w:tc>
        <w:tc>
          <w:tcPr>
            <w:tcW w:w="1842" w:type="pct"/>
            <w:shd w:val="clear" w:color="auto" w:fill="auto"/>
            <w:noWrap/>
            <w:vAlign w:val="center"/>
          </w:tcPr>
          <w:p>
            <w:pPr>
              <w:pStyle w:val="19"/>
              <w:rPr>
                <w:b/>
                <w:sz w:val="28"/>
                <w:szCs w:val="24"/>
              </w:rPr>
            </w:pPr>
            <w:r>
              <w:rPr>
                <w:rFonts w:hint="eastAsia"/>
                <w:b/>
                <w:sz w:val="28"/>
                <w:szCs w:val="24"/>
              </w:rPr>
              <w:t>名称</w:t>
            </w:r>
          </w:p>
        </w:tc>
        <w:tc>
          <w:tcPr>
            <w:tcW w:w="1297" w:type="pct"/>
            <w:shd w:val="clear" w:color="auto" w:fill="auto"/>
            <w:noWrap/>
            <w:vAlign w:val="center"/>
          </w:tcPr>
          <w:p>
            <w:pPr>
              <w:pStyle w:val="19"/>
              <w:rPr>
                <w:b/>
                <w:sz w:val="28"/>
                <w:szCs w:val="24"/>
              </w:rPr>
            </w:pPr>
            <w:r>
              <w:rPr>
                <w:rFonts w:hint="eastAsia"/>
                <w:b/>
                <w:sz w:val="28"/>
                <w:szCs w:val="24"/>
              </w:rPr>
              <w:t>所在河湖名称</w:t>
            </w:r>
          </w:p>
        </w:tc>
        <w:tc>
          <w:tcPr>
            <w:tcW w:w="1296" w:type="pct"/>
            <w:vAlign w:val="center"/>
          </w:tcPr>
          <w:p>
            <w:pPr>
              <w:pStyle w:val="19"/>
              <w:rPr>
                <w:b/>
                <w:sz w:val="28"/>
                <w:szCs w:val="24"/>
              </w:rPr>
            </w:pPr>
            <w:r>
              <w:rPr>
                <w:rFonts w:hint="eastAsia"/>
                <w:b/>
                <w:sz w:val="28"/>
                <w:szCs w:val="24"/>
              </w:rPr>
              <w:t>现场管理单位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000" w:type="pct"/>
            <w:gridSpan w:val="4"/>
            <w:shd w:val="clear" w:color="auto" w:fill="auto"/>
            <w:noWrap/>
            <w:vAlign w:val="center"/>
          </w:tcPr>
          <w:p>
            <w:pPr>
              <w:pStyle w:val="19"/>
              <w:jc w:val="left"/>
              <w:rPr>
                <w:b/>
                <w:bCs/>
                <w:sz w:val="28"/>
                <w:szCs w:val="24"/>
              </w:rPr>
            </w:pPr>
            <w:r>
              <w:rPr>
                <w:rFonts w:hint="eastAsia"/>
                <w:b/>
                <w:bCs/>
                <w:sz w:val="28"/>
                <w:szCs w:val="24"/>
              </w:rPr>
              <w:t>一、水闸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1</w:t>
            </w:r>
          </w:p>
        </w:tc>
        <w:tc>
          <w:tcPr>
            <w:tcW w:w="1842" w:type="pct"/>
            <w:shd w:val="clear" w:color="auto" w:fill="auto"/>
            <w:noWrap/>
            <w:vAlign w:val="center"/>
          </w:tcPr>
          <w:p>
            <w:pPr>
              <w:pStyle w:val="19"/>
              <w:rPr>
                <w:sz w:val="24"/>
                <w:szCs w:val="24"/>
              </w:rPr>
            </w:pPr>
            <w:r>
              <w:rPr>
                <w:rFonts w:hint="eastAsia"/>
                <w:sz w:val="24"/>
                <w:szCs w:val="24"/>
              </w:rPr>
              <w:t>东濠涌水闸</w:t>
            </w:r>
          </w:p>
        </w:tc>
        <w:tc>
          <w:tcPr>
            <w:tcW w:w="1297" w:type="pct"/>
            <w:shd w:val="clear" w:color="auto" w:fill="auto"/>
            <w:noWrap/>
            <w:vAlign w:val="center"/>
          </w:tcPr>
          <w:p>
            <w:pPr>
              <w:pStyle w:val="19"/>
              <w:rPr>
                <w:sz w:val="24"/>
                <w:szCs w:val="24"/>
              </w:rPr>
            </w:pPr>
            <w:r>
              <w:rPr>
                <w:rFonts w:hint="eastAsia"/>
                <w:sz w:val="24"/>
                <w:szCs w:val="24"/>
              </w:rPr>
              <w:t>东濠涌</w:t>
            </w:r>
          </w:p>
        </w:tc>
        <w:tc>
          <w:tcPr>
            <w:tcW w:w="1296" w:type="pct"/>
            <w:vMerge w:val="restart"/>
            <w:vAlign w:val="center"/>
          </w:tcPr>
          <w:p>
            <w:pPr>
              <w:pStyle w:val="19"/>
              <w:rPr>
                <w:sz w:val="24"/>
                <w:szCs w:val="24"/>
              </w:rPr>
            </w:pPr>
            <w:r>
              <w:rPr>
                <w:rFonts w:hint="eastAsia"/>
                <w:sz w:val="24"/>
                <w:szCs w:val="24"/>
              </w:rPr>
              <w:t>广州市城市排水有限公司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2</w:t>
            </w:r>
          </w:p>
        </w:tc>
        <w:tc>
          <w:tcPr>
            <w:tcW w:w="1842" w:type="pct"/>
            <w:shd w:val="clear" w:color="auto" w:fill="auto"/>
            <w:noWrap/>
            <w:vAlign w:val="center"/>
          </w:tcPr>
          <w:p>
            <w:pPr>
              <w:pStyle w:val="19"/>
              <w:rPr>
                <w:sz w:val="24"/>
                <w:szCs w:val="24"/>
              </w:rPr>
            </w:pPr>
            <w:r>
              <w:rPr>
                <w:rFonts w:hint="eastAsia"/>
                <w:sz w:val="24"/>
                <w:szCs w:val="24"/>
              </w:rPr>
              <w:t>沙河涌水闸</w:t>
            </w:r>
          </w:p>
        </w:tc>
        <w:tc>
          <w:tcPr>
            <w:tcW w:w="1297" w:type="pct"/>
            <w:shd w:val="clear" w:color="auto" w:fill="auto"/>
            <w:noWrap/>
            <w:vAlign w:val="center"/>
          </w:tcPr>
          <w:p>
            <w:pPr>
              <w:pStyle w:val="19"/>
              <w:rPr>
                <w:sz w:val="24"/>
                <w:szCs w:val="24"/>
              </w:rPr>
            </w:pPr>
            <w:r>
              <w:rPr>
                <w:rFonts w:hint="eastAsia"/>
                <w:sz w:val="24"/>
                <w:szCs w:val="24"/>
              </w:rPr>
              <w:t>沙河涌</w:t>
            </w:r>
          </w:p>
        </w:tc>
        <w:tc>
          <w:tcPr>
            <w:tcW w:w="1296" w:type="pct"/>
            <w:vMerge w:val="continue"/>
            <w:vAlign w:val="center"/>
          </w:tcPr>
          <w:p>
            <w:pPr>
              <w:pStyle w:val="19"/>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3</w:t>
            </w:r>
          </w:p>
        </w:tc>
        <w:tc>
          <w:tcPr>
            <w:tcW w:w="1842" w:type="pct"/>
            <w:shd w:val="clear" w:color="auto" w:fill="auto"/>
            <w:noWrap/>
            <w:vAlign w:val="center"/>
          </w:tcPr>
          <w:p>
            <w:pPr>
              <w:pStyle w:val="19"/>
              <w:rPr>
                <w:sz w:val="24"/>
                <w:szCs w:val="24"/>
              </w:rPr>
            </w:pPr>
            <w:r>
              <w:rPr>
                <w:rFonts w:hint="eastAsia"/>
                <w:sz w:val="24"/>
                <w:szCs w:val="24"/>
              </w:rPr>
              <w:t>水均岗水闸</w:t>
            </w:r>
          </w:p>
        </w:tc>
        <w:tc>
          <w:tcPr>
            <w:tcW w:w="1297" w:type="pct"/>
            <w:shd w:val="clear" w:color="auto" w:fill="auto"/>
            <w:noWrap/>
            <w:vAlign w:val="center"/>
          </w:tcPr>
          <w:p>
            <w:pPr>
              <w:pStyle w:val="19"/>
              <w:rPr>
                <w:sz w:val="24"/>
                <w:szCs w:val="24"/>
              </w:rPr>
            </w:pPr>
            <w:r>
              <w:rPr>
                <w:rFonts w:hint="eastAsia"/>
                <w:sz w:val="24"/>
                <w:szCs w:val="24"/>
              </w:rPr>
              <w:t>水均岗支涌</w:t>
            </w:r>
          </w:p>
        </w:tc>
        <w:tc>
          <w:tcPr>
            <w:tcW w:w="1296" w:type="pct"/>
            <w:vMerge w:val="continue"/>
            <w:vAlign w:val="center"/>
          </w:tcPr>
          <w:p>
            <w:pPr>
              <w:pStyle w:val="19"/>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4</w:t>
            </w:r>
          </w:p>
        </w:tc>
        <w:tc>
          <w:tcPr>
            <w:tcW w:w="1842" w:type="pct"/>
            <w:shd w:val="clear" w:color="auto" w:fill="auto"/>
            <w:noWrap/>
            <w:vAlign w:val="center"/>
          </w:tcPr>
          <w:p>
            <w:pPr>
              <w:pStyle w:val="19"/>
              <w:rPr>
                <w:sz w:val="24"/>
                <w:szCs w:val="24"/>
              </w:rPr>
            </w:pPr>
            <w:r>
              <w:rPr>
                <w:rFonts w:hint="eastAsia"/>
                <w:sz w:val="24"/>
                <w:szCs w:val="24"/>
              </w:rPr>
              <w:t>东山湖4号闸</w:t>
            </w:r>
          </w:p>
        </w:tc>
        <w:tc>
          <w:tcPr>
            <w:tcW w:w="1297" w:type="pct"/>
            <w:vMerge w:val="restart"/>
            <w:shd w:val="clear" w:color="auto" w:fill="auto"/>
            <w:noWrap/>
            <w:vAlign w:val="center"/>
          </w:tcPr>
          <w:p>
            <w:pPr>
              <w:pStyle w:val="19"/>
              <w:rPr>
                <w:sz w:val="24"/>
                <w:szCs w:val="24"/>
              </w:rPr>
            </w:pPr>
            <w:r>
              <w:rPr>
                <w:rFonts w:hint="eastAsia"/>
                <w:sz w:val="24"/>
                <w:szCs w:val="24"/>
              </w:rPr>
              <w:t>东山湖</w:t>
            </w:r>
          </w:p>
        </w:tc>
        <w:tc>
          <w:tcPr>
            <w:tcW w:w="1296" w:type="pct"/>
            <w:vMerge w:val="restart"/>
            <w:vAlign w:val="center"/>
          </w:tcPr>
          <w:p>
            <w:pPr>
              <w:pStyle w:val="19"/>
              <w:rPr>
                <w:sz w:val="24"/>
                <w:szCs w:val="24"/>
              </w:rPr>
            </w:pPr>
            <w:r>
              <w:rPr>
                <w:rFonts w:hint="eastAsia"/>
                <w:sz w:val="24"/>
                <w:szCs w:val="24"/>
              </w:rPr>
              <w:t>广州市市政维修处有限公司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5</w:t>
            </w:r>
          </w:p>
        </w:tc>
        <w:tc>
          <w:tcPr>
            <w:tcW w:w="1842" w:type="pct"/>
            <w:shd w:val="clear" w:color="auto" w:fill="auto"/>
            <w:noWrap/>
            <w:vAlign w:val="center"/>
          </w:tcPr>
          <w:p>
            <w:pPr>
              <w:pStyle w:val="19"/>
              <w:rPr>
                <w:sz w:val="24"/>
                <w:szCs w:val="24"/>
              </w:rPr>
            </w:pPr>
            <w:r>
              <w:rPr>
                <w:rFonts w:hint="eastAsia"/>
                <w:sz w:val="24"/>
                <w:szCs w:val="24"/>
              </w:rPr>
              <w:t>东山湖5号闸（与东山湖泵站闸泵一体）</w:t>
            </w:r>
          </w:p>
        </w:tc>
        <w:tc>
          <w:tcPr>
            <w:tcW w:w="1297" w:type="pct"/>
            <w:vMerge w:val="continue"/>
            <w:vAlign w:val="center"/>
          </w:tcPr>
          <w:p>
            <w:pPr>
              <w:pStyle w:val="19"/>
              <w:rPr>
                <w:sz w:val="24"/>
                <w:szCs w:val="24"/>
              </w:rPr>
            </w:pPr>
          </w:p>
        </w:tc>
        <w:tc>
          <w:tcPr>
            <w:tcW w:w="1296" w:type="pct"/>
            <w:vMerge w:val="continue"/>
            <w:vAlign w:val="center"/>
          </w:tcPr>
          <w:p>
            <w:pPr>
              <w:pStyle w:val="19"/>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6</w:t>
            </w:r>
          </w:p>
        </w:tc>
        <w:tc>
          <w:tcPr>
            <w:tcW w:w="1842" w:type="pct"/>
            <w:shd w:val="clear" w:color="auto" w:fill="auto"/>
            <w:noWrap/>
            <w:vAlign w:val="center"/>
          </w:tcPr>
          <w:p>
            <w:pPr>
              <w:pStyle w:val="19"/>
              <w:rPr>
                <w:sz w:val="24"/>
                <w:szCs w:val="24"/>
              </w:rPr>
            </w:pPr>
            <w:r>
              <w:rPr>
                <w:rFonts w:hint="eastAsia"/>
                <w:sz w:val="24"/>
                <w:szCs w:val="24"/>
              </w:rPr>
              <w:t>东山湖6号闸</w:t>
            </w:r>
          </w:p>
        </w:tc>
        <w:tc>
          <w:tcPr>
            <w:tcW w:w="1297" w:type="pct"/>
            <w:vMerge w:val="continue"/>
            <w:vAlign w:val="center"/>
          </w:tcPr>
          <w:p>
            <w:pPr>
              <w:pStyle w:val="19"/>
              <w:rPr>
                <w:sz w:val="24"/>
                <w:szCs w:val="24"/>
              </w:rPr>
            </w:pPr>
          </w:p>
        </w:tc>
        <w:tc>
          <w:tcPr>
            <w:tcW w:w="1296" w:type="pct"/>
            <w:vMerge w:val="continue"/>
            <w:vAlign w:val="center"/>
          </w:tcPr>
          <w:p>
            <w:pPr>
              <w:pStyle w:val="19"/>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7—8</w:t>
            </w:r>
          </w:p>
        </w:tc>
        <w:tc>
          <w:tcPr>
            <w:tcW w:w="1842" w:type="pct"/>
            <w:shd w:val="clear" w:color="auto" w:fill="auto"/>
            <w:noWrap/>
            <w:vAlign w:val="center"/>
          </w:tcPr>
          <w:p>
            <w:pPr>
              <w:pStyle w:val="19"/>
              <w:rPr>
                <w:sz w:val="24"/>
                <w:szCs w:val="24"/>
              </w:rPr>
            </w:pPr>
            <w:r>
              <w:rPr>
                <w:rFonts w:hint="eastAsia"/>
                <w:sz w:val="24"/>
                <w:szCs w:val="24"/>
              </w:rPr>
              <w:t>东山湖8.9号闸</w:t>
            </w:r>
          </w:p>
        </w:tc>
        <w:tc>
          <w:tcPr>
            <w:tcW w:w="1297" w:type="pct"/>
            <w:vMerge w:val="continue"/>
            <w:vAlign w:val="center"/>
          </w:tcPr>
          <w:p>
            <w:pPr>
              <w:pStyle w:val="19"/>
              <w:rPr>
                <w:sz w:val="24"/>
                <w:szCs w:val="24"/>
              </w:rPr>
            </w:pPr>
          </w:p>
        </w:tc>
        <w:tc>
          <w:tcPr>
            <w:tcW w:w="1296" w:type="pct"/>
            <w:vMerge w:val="restart"/>
            <w:vAlign w:val="center"/>
          </w:tcPr>
          <w:p>
            <w:pPr>
              <w:pStyle w:val="19"/>
              <w:rPr>
                <w:sz w:val="24"/>
                <w:szCs w:val="24"/>
              </w:rPr>
            </w:pPr>
            <w:r>
              <w:rPr>
                <w:rFonts w:hint="eastAsia"/>
                <w:sz w:val="24"/>
                <w:szCs w:val="24"/>
              </w:rPr>
              <w:t>广州市城市排水有限公司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9</w:t>
            </w:r>
          </w:p>
        </w:tc>
        <w:tc>
          <w:tcPr>
            <w:tcW w:w="1842" w:type="pct"/>
            <w:shd w:val="clear" w:color="auto" w:fill="auto"/>
            <w:noWrap/>
            <w:vAlign w:val="center"/>
          </w:tcPr>
          <w:p>
            <w:pPr>
              <w:pStyle w:val="19"/>
              <w:rPr>
                <w:sz w:val="24"/>
                <w:szCs w:val="24"/>
              </w:rPr>
            </w:pPr>
            <w:r>
              <w:rPr>
                <w:rFonts w:hint="eastAsia"/>
                <w:sz w:val="24"/>
                <w:szCs w:val="24"/>
              </w:rPr>
              <w:t>流花湖2号闸</w:t>
            </w:r>
          </w:p>
        </w:tc>
        <w:tc>
          <w:tcPr>
            <w:tcW w:w="1297" w:type="pct"/>
            <w:vMerge w:val="restart"/>
            <w:shd w:val="clear" w:color="auto" w:fill="auto"/>
            <w:noWrap/>
            <w:vAlign w:val="center"/>
          </w:tcPr>
          <w:p>
            <w:pPr>
              <w:pStyle w:val="19"/>
              <w:rPr>
                <w:sz w:val="24"/>
                <w:szCs w:val="24"/>
              </w:rPr>
            </w:pPr>
            <w:r>
              <w:rPr>
                <w:rFonts w:hint="eastAsia"/>
                <w:sz w:val="24"/>
                <w:szCs w:val="24"/>
              </w:rPr>
              <w:t>流花湖</w:t>
            </w:r>
          </w:p>
        </w:tc>
        <w:tc>
          <w:tcPr>
            <w:tcW w:w="1296" w:type="pct"/>
            <w:vMerge w:val="continue"/>
            <w:vAlign w:val="center"/>
          </w:tcPr>
          <w:p>
            <w:pPr>
              <w:pStyle w:val="19"/>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10</w:t>
            </w:r>
          </w:p>
        </w:tc>
        <w:tc>
          <w:tcPr>
            <w:tcW w:w="1842" w:type="pct"/>
            <w:shd w:val="clear" w:color="auto" w:fill="auto"/>
            <w:noWrap/>
            <w:vAlign w:val="center"/>
          </w:tcPr>
          <w:p>
            <w:pPr>
              <w:pStyle w:val="19"/>
              <w:rPr>
                <w:sz w:val="24"/>
                <w:szCs w:val="24"/>
              </w:rPr>
            </w:pPr>
            <w:r>
              <w:rPr>
                <w:rFonts w:hint="eastAsia"/>
                <w:sz w:val="24"/>
                <w:szCs w:val="24"/>
              </w:rPr>
              <w:t>流花湖3号闸</w:t>
            </w:r>
          </w:p>
        </w:tc>
        <w:tc>
          <w:tcPr>
            <w:tcW w:w="1297" w:type="pct"/>
            <w:vMerge w:val="continue"/>
            <w:vAlign w:val="center"/>
          </w:tcPr>
          <w:p>
            <w:pPr>
              <w:pStyle w:val="19"/>
              <w:rPr>
                <w:sz w:val="24"/>
                <w:szCs w:val="24"/>
              </w:rPr>
            </w:pPr>
          </w:p>
        </w:tc>
        <w:tc>
          <w:tcPr>
            <w:tcW w:w="1296" w:type="pct"/>
            <w:vMerge w:val="continue"/>
            <w:vAlign w:val="center"/>
          </w:tcPr>
          <w:p>
            <w:pPr>
              <w:pStyle w:val="19"/>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11</w:t>
            </w:r>
          </w:p>
        </w:tc>
        <w:tc>
          <w:tcPr>
            <w:tcW w:w="1842" w:type="pct"/>
            <w:shd w:val="clear" w:color="auto" w:fill="auto"/>
            <w:noWrap/>
            <w:vAlign w:val="center"/>
          </w:tcPr>
          <w:p>
            <w:pPr>
              <w:pStyle w:val="19"/>
              <w:rPr>
                <w:sz w:val="24"/>
                <w:szCs w:val="24"/>
              </w:rPr>
            </w:pPr>
            <w:r>
              <w:rPr>
                <w:rFonts w:hint="eastAsia"/>
                <w:sz w:val="24"/>
                <w:szCs w:val="24"/>
              </w:rPr>
              <w:t>麓湖水闸</w:t>
            </w:r>
          </w:p>
        </w:tc>
        <w:tc>
          <w:tcPr>
            <w:tcW w:w="1297" w:type="pct"/>
            <w:shd w:val="clear" w:color="auto" w:fill="auto"/>
            <w:noWrap/>
            <w:vAlign w:val="center"/>
          </w:tcPr>
          <w:p>
            <w:pPr>
              <w:pStyle w:val="19"/>
              <w:rPr>
                <w:sz w:val="24"/>
                <w:szCs w:val="24"/>
              </w:rPr>
            </w:pPr>
            <w:r>
              <w:rPr>
                <w:rFonts w:hint="eastAsia"/>
                <w:sz w:val="24"/>
                <w:szCs w:val="24"/>
              </w:rPr>
              <w:t>麓湖</w:t>
            </w:r>
          </w:p>
        </w:tc>
        <w:tc>
          <w:tcPr>
            <w:tcW w:w="1296" w:type="pct"/>
            <w:vMerge w:val="restart"/>
            <w:vAlign w:val="center"/>
          </w:tcPr>
          <w:p>
            <w:pPr>
              <w:pStyle w:val="19"/>
              <w:rPr>
                <w:sz w:val="24"/>
                <w:szCs w:val="24"/>
              </w:rPr>
            </w:pPr>
            <w:r>
              <w:rPr>
                <w:rFonts w:hint="eastAsia"/>
                <w:sz w:val="24"/>
                <w:szCs w:val="24"/>
              </w:rPr>
              <w:t>广州市市政维修处有限公司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12</w:t>
            </w:r>
          </w:p>
        </w:tc>
        <w:tc>
          <w:tcPr>
            <w:tcW w:w="1842" w:type="pct"/>
            <w:shd w:val="clear" w:color="auto" w:fill="auto"/>
            <w:noWrap/>
            <w:vAlign w:val="center"/>
          </w:tcPr>
          <w:p>
            <w:pPr>
              <w:pStyle w:val="19"/>
              <w:rPr>
                <w:sz w:val="24"/>
                <w:szCs w:val="24"/>
              </w:rPr>
            </w:pPr>
            <w:r>
              <w:rPr>
                <w:rFonts w:hint="eastAsia"/>
                <w:sz w:val="24"/>
                <w:szCs w:val="24"/>
              </w:rPr>
              <w:t>新河浦涌1号闸</w:t>
            </w:r>
          </w:p>
        </w:tc>
        <w:tc>
          <w:tcPr>
            <w:tcW w:w="1297" w:type="pct"/>
            <w:vMerge w:val="restart"/>
            <w:shd w:val="clear" w:color="auto" w:fill="auto"/>
            <w:noWrap/>
            <w:vAlign w:val="center"/>
          </w:tcPr>
          <w:p>
            <w:pPr>
              <w:pStyle w:val="19"/>
              <w:rPr>
                <w:sz w:val="24"/>
                <w:szCs w:val="24"/>
              </w:rPr>
            </w:pPr>
            <w:r>
              <w:rPr>
                <w:rFonts w:hint="eastAsia"/>
                <w:sz w:val="24"/>
                <w:szCs w:val="24"/>
              </w:rPr>
              <w:t>新河浦涌</w:t>
            </w:r>
          </w:p>
        </w:tc>
        <w:tc>
          <w:tcPr>
            <w:tcW w:w="1296" w:type="pct"/>
            <w:vMerge w:val="continue"/>
            <w:vAlign w:val="center"/>
          </w:tcPr>
          <w:p>
            <w:pPr>
              <w:ind w:firstLine="440"/>
              <w:rPr>
                <w:rFonts w:ascii="等线" w:hAnsi="等线" w:eastAsia="等线" w:cs="宋体"/>
                <w:color w:val="000000"/>
                <w:sz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13</w:t>
            </w:r>
          </w:p>
        </w:tc>
        <w:tc>
          <w:tcPr>
            <w:tcW w:w="1842" w:type="pct"/>
            <w:shd w:val="clear" w:color="auto" w:fill="auto"/>
            <w:noWrap/>
            <w:vAlign w:val="center"/>
          </w:tcPr>
          <w:p>
            <w:pPr>
              <w:pStyle w:val="19"/>
              <w:rPr>
                <w:sz w:val="24"/>
                <w:szCs w:val="24"/>
              </w:rPr>
            </w:pPr>
            <w:r>
              <w:rPr>
                <w:rFonts w:hint="eastAsia"/>
                <w:sz w:val="24"/>
                <w:szCs w:val="24"/>
              </w:rPr>
              <w:t>新河浦涌2号闸</w:t>
            </w:r>
          </w:p>
        </w:tc>
        <w:tc>
          <w:tcPr>
            <w:tcW w:w="1297" w:type="pct"/>
            <w:vMerge w:val="continue"/>
            <w:vAlign w:val="center"/>
          </w:tcPr>
          <w:p>
            <w:pPr>
              <w:pStyle w:val="19"/>
              <w:rPr>
                <w:sz w:val="24"/>
                <w:szCs w:val="24"/>
              </w:rPr>
            </w:pPr>
          </w:p>
        </w:tc>
        <w:tc>
          <w:tcPr>
            <w:tcW w:w="1296" w:type="pct"/>
            <w:vMerge w:val="continue"/>
            <w:vAlign w:val="center"/>
          </w:tcPr>
          <w:p>
            <w:pPr>
              <w:ind w:firstLine="440"/>
              <w:rPr>
                <w:rFonts w:ascii="等线" w:hAnsi="等线" w:eastAsia="等线" w:cs="宋体"/>
                <w:color w:val="000000"/>
                <w:sz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000" w:type="pct"/>
            <w:gridSpan w:val="4"/>
            <w:shd w:val="clear" w:color="auto" w:fill="auto"/>
            <w:noWrap/>
            <w:vAlign w:val="center"/>
          </w:tcPr>
          <w:p>
            <w:pPr>
              <w:pStyle w:val="19"/>
              <w:jc w:val="left"/>
              <w:rPr>
                <w:b/>
                <w:bCs/>
                <w:sz w:val="28"/>
                <w:szCs w:val="24"/>
              </w:rPr>
            </w:pPr>
            <w:r>
              <w:rPr>
                <w:rFonts w:hint="eastAsia"/>
                <w:b/>
                <w:bCs/>
                <w:sz w:val="28"/>
                <w:szCs w:val="24"/>
              </w:rPr>
              <w:t>二、泵站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1</w:t>
            </w:r>
          </w:p>
        </w:tc>
        <w:tc>
          <w:tcPr>
            <w:tcW w:w="1842" w:type="pct"/>
            <w:shd w:val="clear" w:color="auto" w:fill="auto"/>
            <w:noWrap/>
            <w:vAlign w:val="center"/>
          </w:tcPr>
          <w:p>
            <w:pPr>
              <w:pStyle w:val="19"/>
              <w:rPr>
                <w:sz w:val="24"/>
                <w:szCs w:val="24"/>
              </w:rPr>
            </w:pPr>
            <w:r>
              <w:rPr>
                <w:rFonts w:hint="eastAsia"/>
                <w:sz w:val="24"/>
                <w:szCs w:val="24"/>
              </w:rPr>
              <w:t>东濠涌排涝泵站</w:t>
            </w:r>
          </w:p>
        </w:tc>
        <w:tc>
          <w:tcPr>
            <w:tcW w:w="1297" w:type="pct"/>
            <w:vMerge w:val="restart"/>
            <w:shd w:val="clear" w:color="auto" w:fill="auto"/>
            <w:noWrap/>
            <w:vAlign w:val="center"/>
          </w:tcPr>
          <w:p>
            <w:pPr>
              <w:pStyle w:val="19"/>
              <w:rPr>
                <w:sz w:val="24"/>
                <w:szCs w:val="24"/>
              </w:rPr>
            </w:pPr>
            <w:r>
              <w:rPr>
                <w:rFonts w:hint="eastAsia"/>
                <w:sz w:val="24"/>
                <w:szCs w:val="24"/>
              </w:rPr>
              <w:t>东濠涌</w:t>
            </w:r>
          </w:p>
        </w:tc>
        <w:tc>
          <w:tcPr>
            <w:tcW w:w="1296" w:type="pct"/>
            <w:vAlign w:val="center"/>
          </w:tcPr>
          <w:p>
            <w:pPr>
              <w:pStyle w:val="19"/>
              <w:rPr>
                <w:sz w:val="24"/>
                <w:szCs w:val="24"/>
              </w:rPr>
            </w:pPr>
            <w:r>
              <w:rPr>
                <w:rFonts w:hint="eastAsia"/>
                <w:sz w:val="24"/>
                <w:szCs w:val="24"/>
              </w:rPr>
              <w:t>广州市城市排水有限公司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2</w:t>
            </w:r>
          </w:p>
        </w:tc>
        <w:tc>
          <w:tcPr>
            <w:tcW w:w="1842" w:type="pct"/>
            <w:shd w:val="clear" w:color="auto" w:fill="auto"/>
            <w:noWrap/>
            <w:vAlign w:val="center"/>
          </w:tcPr>
          <w:p>
            <w:pPr>
              <w:pStyle w:val="19"/>
              <w:rPr>
                <w:sz w:val="24"/>
                <w:szCs w:val="24"/>
              </w:rPr>
            </w:pPr>
            <w:r>
              <w:rPr>
                <w:rFonts w:hint="eastAsia"/>
                <w:sz w:val="24"/>
                <w:szCs w:val="24"/>
              </w:rPr>
              <w:t>东濠涌补水泵站</w:t>
            </w:r>
          </w:p>
        </w:tc>
        <w:tc>
          <w:tcPr>
            <w:tcW w:w="1297" w:type="pct"/>
            <w:vMerge w:val="continue"/>
            <w:vAlign w:val="center"/>
          </w:tcPr>
          <w:p>
            <w:pPr>
              <w:pStyle w:val="19"/>
              <w:rPr>
                <w:sz w:val="24"/>
                <w:szCs w:val="24"/>
              </w:rPr>
            </w:pPr>
          </w:p>
        </w:tc>
        <w:tc>
          <w:tcPr>
            <w:tcW w:w="1296" w:type="pct"/>
            <w:vAlign w:val="center"/>
          </w:tcPr>
          <w:p>
            <w:pPr>
              <w:pStyle w:val="19"/>
              <w:rPr>
                <w:sz w:val="24"/>
                <w:szCs w:val="24"/>
              </w:rPr>
            </w:pPr>
            <w:r>
              <w:rPr>
                <w:rFonts w:hint="eastAsia"/>
                <w:sz w:val="24"/>
                <w:szCs w:val="24"/>
              </w:rPr>
              <w:t>广州市市政工程机械施工有限公司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3</w:t>
            </w:r>
          </w:p>
        </w:tc>
        <w:tc>
          <w:tcPr>
            <w:tcW w:w="1842" w:type="pct"/>
            <w:shd w:val="clear" w:color="auto" w:fill="auto"/>
            <w:noWrap/>
            <w:vAlign w:val="center"/>
          </w:tcPr>
          <w:p>
            <w:pPr>
              <w:pStyle w:val="19"/>
              <w:rPr>
                <w:sz w:val="24"/>
                <w:szCs w:val="24"/>
              </w:rPr>
            </w:pPr>
            <w:r>
              <w:rPr>
                <w:rFonts w:hint="eastAsia"/>
                <w:sz w:val="24"/>
                <w:szCs w:val="24"/>
              </w:rPr>
              <w:t>东山湖泵站（与东山湖5号闸闸泵一体）</w:t>
            </w:r>
          </w:p>
        </w:tc>
        <w:tc>
          <w:tcPr>
            <w:tcW w:w="1297" w:type="pct"/>
            <w:shd w:val="clear" w:color="auto" w:fill="auto"/>
            <w:noWrap/>
            <w:vAlign w:val="center"/>
          </w:tcPr>
          <w:p>
            <w:pPr>
              <w:pStyle w:val="19"/>
              <w:rPr>
                <w:sz w:val="24"/>
                <w:szCs w:val="24"/>
              </w:rPr>
            </w:pPr>
            <w:r>
              <w:rPr>
                <w:rFonts w:hint="eastAsia"/>
                <w:sz w:val="24"/>
                <w:szCs w:val="24"/>
              </w:rPr>
              <w:t>东山湖</w:t>
            </w:r>
          </w:p>
        </w:tc>
        <w:tc>
          <w:tcPr>
            <w:tcW w:w="1296" w:type="pct"/>
            <w:vAlign w:val="center"/>
          </w:tcPr>
          <w:p>
            <w:pPr>
              <w:pStyle w:val="19"/>
              <w:rPr>
                <w:sz w:val="24"/>
                <w:szCs w:val="24"/>
              </w:rPr>
            </w:pPr>
            <w:r>
              <w:rPr>
                <w:rFonts w:hint="eastAsia"/>
                <w:sz w:val="24"/>
                <w:szCs w:val="24"/>
              </w:rPr>
              <w:t>广州市市政维修处有限公司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000" w:type="pct"/>
            <w:gridSpan w:val="4"/>
            <w:shd w:val="clear" w:color="auto" w:fill="auto"/>
            <w:noWrap/>
            <w:vAlign w:val="center"/>
          </w:tcPr>
          <w:p>
            <w:pPr>
              <w:pStyle w:val="19"/>
              <w:jc w:val="left"/>
              <w:rPr>
                <w:b/>
                <w:bCs/>
                <w:sz w:val="28"/>
                <w:szCs w:val="24"/>
              </w:rPr>
            </w:pPr>
            <w:r>
              <w:rPr>
                <w:rFonts w:hint="eastAsia"/>
                <w:b/>
                <w:bCs/>
                <w:sz w:val="28"/>
                <w:szCs w:val="24"/>
              </w:rPr>
              <w:t>三、堤防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1</w:t>
            </w:r>
          </w:p>
        </w:tc>
        <w:tc>
          <w:tcPr>
            <w:tcW w:w="1842" w:type="pct"/>
            <w:shd w:val="clear" w:color="auto" w:fill="auto"/>
            <w:noWrap/>
            <w:vAlign w:val="center"/>
          </w:tcPr>
          <w:p>
            <w:pPr>
              <w:pStyle w:val="19"/>
              <w:rPr>
                <w:sz w:val="24"/>
                <w:szCs w:val="24"/>
              </w:rPr>
            </w:pPr>
            <w:r>
              <w:rPr>
                <w:rFonts w:hint="eastAsia"/>
                <w:sz w:val="24"/>
                <w:szCs w:val="24"/>
              </w:rPr>
              <w:t>东濠涌堤防</w:t>
            </w:r>
          </w:p>
        </w:tc>
        <w:tc>
          <w:tcPr>
            <w:tcW w:w="1297" w:type="pct"/>
            <w:shd w:val="clear" w:color="auto" w:fill="auto"/>
            <w:noWrap/>
            <w:vAlign w:val="center"/>
          </w:tcPr>
          <w:p>
            <w:pPr>
              <w:pStyle w:val="19"/>
              <w:rPr>
                <w:sz w:val="24"/>
                <w:szCs w:val="24"/>
              </w:rPr>
            </w:pPr>
            <w:r>
              <w:rPr>
                <w:rFonts w:hint="eastAsia"/>
                <w:sz w:val="24"/>
                <w:szCs w:val="24"/>
              </w:rPr>
              <w:t>东濠涌</w:t>
            </w:r>
          </w:p>
        </w:tc>
        <w:tc>
          <w:tcPr>
            <w:tcW w:w="1296" w:type="pct"/>
            <w:vMerge w:val="restart"/>
            <w:vAlign w:val="center"/>
          </w:tcPr>
          <w:p>
            <w:pPr>
              <w:pStyle w:val="19"/>
              <w:rPr>
                <w:sz w:val="24"/>
                <w:szCs w:val="24"/>
              </w:rPr>
            </w:pPr>
            <w:r>
              <w:rPr>
                <w:rFonts w:hint="eastAsia"/>
                <w:sz w:val="24"/>
                <w:szCs w:val="24"/>
              </w:rPr>
              <w:t>越秀区市政和水利维护所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2</w:t>
            </w:r>
          </w:p>
        </w:tc>
        <w:tc>
          <w:tcPr>
            <w:tcW w:w="1842" w:type="pct"/>
            <w:shd w:val="clear" w:color="auto" w:fill="auto"/>
            <w:noWrap/>
            <w:vAlign w:val="center"/>
          </w:tcPr>
          <w:p>
            <w:pPr>
              <w:pStyle w:val="19"/>
              <w:rPr>
                <w:sz w:val="24"/>
                <w:szCs w:val="24"/>
              </w:rPr>
            </w:pPr>
            <w:r>
              <w:rPr>
                <w:rFonts w:hint="eastAsia"/>
                <w:sz w:val="24"/>
                <w:szCs w:val="24"/>
              </w:rPr>
              <w:t>沙河涌越秀段堤防</w:t>
            </w:r>
          </w:p>
        </w:tc>
        <w:tc>
          <w:tcPr>
            <w:tcW w:w="1297" w:type="pct"/>
            <w:shd w:val="clear" w:color="auto" w:fill="auto"/>
            <w:noWrap/>
            <w:vAlign w:val="center"/>
          </w:tcPr>
          <w:p>
            <w:pPr>
              <w:pStyle w:val="19"/>
              <w:rPr>
                <w:sz w:val="24"/>
                <w:szCs w:val="24"/>
              </w:rPr>
            </w:pPr>
            <w:r>
              <w:rPr>
                <w:rFonts w:hint="eastAsia"/>
                <w:sz w:val="24"/>
                <w:szCs w:val="24"/>
              </w:rPr>
              <w:t>沙河涌</w:t>
            </w:r>
          </w:p>
        </w:tc>
        <w:tc>
          <w:tcPr>
            <w:tcW w:w="1296" w:type="pct"/>
            <w:vMerge w:val="continue"/>
            <w:vAlign w:val="center"/>
          </w:tcPr>
          <w:p>
            <w:pPr>
              <w:ind w:firstLine="440"/>
              <w:rPr>
                <w:rFonts w:ascii="等线" w:hAnsi="等线" w:eastAsia="等线" w:cs="宋体"/>
                <w:color w:val="000000"/>
                <w:sz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3</w:t>
            </w:r>
          </w:p>
        </w:tc>
        <w:tc>
          <w:tcPr>
            <w:tcW w:w="1842" w:type="pct"/>
            <w:shd w:val="clear" w:color="auto" w:fill="auto"/>
            <w:noWrap/>
            <w:vAlign w:val="center"/>
          </w:tcPr>
          <w:p>
            <w:pPr>
              <w:pStyle w:val="19"/>
              <w:rPr>
                <w:sz w:val="24"/>
                <w:szCs w:val="24"/>
              </w:rPr>
            </w:pPr>
            <w:r>
              <w:rPr>
                <w:rFonts w:hint="eastAsia"/>
                <w:sz w:val="24"/>
                <w:szCs w:val="24"/>
              </w:rPr>
              <w:t>新河浦涌堤防</w:t>
            </w:r>
          </w:p>
        </w:tc>
        <w:tc>
          <w:tcPr>
            <w:tcW w:w="1297" w:type="pct"/>
            <w:shd w:val="clear" w:color="auto" w:fill="auto"/>
            <w:noWrap/>
            <w:vAlign w:val="center"/>
          </w:tcPr>
          <w:p>
            <w:pPr>
              <w:pStyle w:val="19"/>
              <w:rPr>
                <w:sz w:val="24"/>
                <w:szCs w:val="24"/>
              </w:rPr>
            </w:pPr>
            <w:r>
              <w:rPr>
                <w:rFonts w:hint="eastAsia"/>
                <w:sz w:val="24"/>
                <w:szCs w:val="24"/>
              </w:rPr>
              <w:t>新河浦涌</w:t>
            </w:r>
          </w:p>
        </w:tc>
        <w:tc>
          <w:tcPr>
            <w:tcW w:w="1296" w:type="pct"/>
            <w:vMerge w:val="continue"/>
            <w:vAlign w:val="center"/>
          </w:tcPr>
          <w:p>
            <w:pPr>
              <w:ind w:firstLine="440"/>
              <w:rPr>
                <w:rFonts w:ascii="等线" w:hAnsi="等线" w:eastAsia="等线" w:cs="宋体"/>
                <w:color w:val="000000"/>
                <w:sz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4</w:t>
            </w:r>
          </w:p>
        </w:tc>
        <w:tc>
          <w:tcPr>
            <w:tcW w:w="1842" w:type="pct"/>
            <w:shd w:val="clear" w:color="auto" w:fill="auto"/>
            <w:noWrap/>
            <w:vAlign w:val="center"/>
          </w:tcPr>
          <w:p>
            <w:pPr>
              <w:pStyle w:val="19"/>
              <w:rPr>
                <w:sz w:val="24"/>
                <w:szCs w:val="24"/>
              </w:rPr>
            </w:pPr>
            <w:r>
              <w:rPr>
                <w:rFonts w:hint="eastAsia"/>
                <w:sz w:val="24"/>
                <w:szCs w:val="24"/>
              </w:rPr>
              <w:t>水均岗支涌堤防</w:t>
            </w:r>
          </w:p>
        </w:tc>
        <w:tc>
          <w:tcPr>
            <w:tcW w:w="1297" w:type="pct"/>
            <w:shd w:val="clear" w:color="auto" w:fill="auto"/>
            <w:noWrap/>
            <w:vAlign w:val="center"/>
          </w:tcPr>
          <w:p>
            <w:pPr>
              <w:pStyle w:val="19"/>
              <w:rPr>
                <w:sz w:val="24"/>
                <w:szCs w:val="24"/>
              </w:rPr>
            </w:pPr>
            <w:r>
              <w:rPr>
                <w:rFonts w:hint="eastAsia"/>
                <w:sz w:val="24"/>
                <w:szCs w:val="24"/>
              </w:rPr>
              <w:t>水均岗支涌</w:t>
            </w:r>
          </w:p>
        </w:tc>
        <w:tc>
          <w:tcPr>
            <w:tcW w:w="1296" w:type="pct"/>
            <w:vMerge w:val="continue"/>
            <w:vAlign w:val="center"/>
          </w:tcPr>
          <w:p>
            <w:pPr>
              <w:ind w:firstLine="440"/>
              <w:rPr>
                <w:rFonts w:ascii="等线" w:hAnsi="等线" w:eastAsia="等线" w:cs="宋体"/>
                <w:color w:val="000000"/>
                <w:sz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5</w:t>
            </w:r>
          </w:p>
        </w:tc>
        <w:tc>
          <w:tcPr>
            <w:tcW w:w="1842" w:type="pct"/>
            <w:shd w:val="clear" w:color="auto" w:fill="auto"/>
            <w:noWrap/>
            <w:vAlign w:val="center"/>
          </w:tcPr>
          <w:p>
            <w:pPr>
              <w:pStyle w:val="19"/>
              <w:rPr>
                <w:sz w:val="24"/>
                <w:szCs w:val="24"/>
              </w:rPr>
            </w:pPr>
            <w:r>
              <w:rPr>
                <w:rFonts w:hint="eastAsia"/>
                <w:sz w:val="24"/>
                <w:szCs w:val="24"/>
              </w:rPr>
              <w:t>景泰涌越秀段堤防</w:t>
            </w:r>
          </w:p>
        </w:tc>
        <w:tc>
          <w:tcPr>
            <w:tcW w:w="1297" w:type="pct"/>
            <w:shd w:val="clear" w:color="auto" w:fill="auto"/>
            <w:noWrap/>
            <w:vAlign w:val="center"/>
          </w:tcPr>
          <w:p>
            <w:pPr>
              <w:pStyle w:val="19"/>
              <w:rPr>
                <w:sz w:val="24"/>
                <w:szCs w:val="24"/>
              </w:rPr>
            </w:pPr>
            <w:r>
              <w:rPr>
                <w:rFonts w:hint="eastAsia"/>
                <w:sz w:val="24"/>
                <w:szCs w:val="24"/>
              </w:rPr>
              <w:t>景泰涌</w:t>
            </w:r>
          </w:p>
        </w:tc>
        <w:tc>
          <w:tcPr>
            <w:tcW w:w="1296" w:type="pct"/>
            <w:vMerge w:val="continue"/>
            <w:vAlign w:val="center"/>
          </w:tcPr>
          <w:p>
            <w:pPr>
              <w:ind w:firstLine="440"/>
              <w:rPr>
                <w:rFonts w:ascii="等线" w:hAnsi="等线" w:eastAsia="等线" w:cs="宋体"/>
                <w:color w:val="000000"/>
                <w:sz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65" w:type="pct"/>
            <w:shd w:val="clear" w:color="auto" w:fill="auto"/>
            <w:noWrap/>
            <w:vAlign w:val="center"/>
          </w:tcPr>
          <w:p>
            <w:pPr>
              <w:pStyle w:val="19"/>
              <w:rPr>
                <w:sz w:val="24"/>
                <w:szCs w:val="24"/>
              </w:rPr>
            </w:pPr>
            <w:r>
              <w:rPr>
                <w:rFonts w:hint="eastAsia"/>
                <w:sz w:val="24"/>
                <w:szCs w:val="24"/>
              </w:rPr>
              <w:t>6</w:t>
            </w:r>
          </w:p>
        </w:tc>
        <w:tc>
          <w:tcPr>
            <w:tcW w:w="1842" w:type="pct"/>
            <w:shd w:val="clear" w:color="auto" w:fill="auto"/>
            <w:noWrap/>
            <w:vAlign w:val="center"/>
          </w:tcPr>
          <w:p>
            <w:pPr>
              <w:pStyle w:val="19"/>
              <w:rPr>
                <w:sz w:val="24"/>
                <w:szCs w:val="24"/>
              </w:rPr>
            </w:pPr>
            <w:r>
              <w:rPr>
                <w:rFonts w:hint="eastAsia"/>
                <w:sz w:val="24"/>
                <w:szCs w:val="24"/>
              </w:rPr>
              <w:t>新市涌越秀段堤防</w:t>
            </w:r>
          </w:p>
        </w:tc>
        <w:tc>
          <w:tcPr>
            <w:tcW w:w="1297" w:type="pct"/>
            <w:shd w:val="clear" w:color="auto" w:fill="auto"/>
            <w:noWrap/>
            <w:vAlign w:val="center"/>
          </w:tcPr>
          <w:p>
            <w:pPr>
              <w:pStyle w:val="19"/>
              <w:rPr>
                <w:sz w:val="24"/>
                <w:szCs w:val="24"/>
              </w:rPr>
            </w:pPr>
            <w:r>
              <w:rPr>
                <w:rFonts w:hint="eastAsia"/>
                <w:sz w:val="24"/>
                <w:szCs w:val="24"/>
              </w:rPr>
              <w:t>新市涌</w:t>
            </w:r>
          </w:p>
        </w:tc>
        <w:tc>
          <w:tcPr>
            <w:tcW w:w="1296" w:type="pct"/>
            <w:vMerge w:val="continue"/>
            <w:vAlign w:val="center"/>
          </w:tcPr>
          <w:p>
            <w:pPr>
              <w:ind w:firstLine="440"/>
              <w:rPr>
                <w:rFonts w:ascii="等线" w:hAnsi="等线" w:eastAsia="等线" w:cs="宋体"/>
                <w:color w:val="000000"/>
                <w:sz w:val="22"/>
              </w:rPr>
            </w:pPr>
          </w:p>
        </w:tc>
      </w:tr>
    </w:tbl>
    <w:p>
      <w:pPr>
        <w:ind w:firstLine="560"/>
        <w:rPr>
          <w:sz w:val="28"/>
        </w:rPr>
        <w:sectPr>
          <w:footerReference r:id="rId9" w:type="default"/>
          <w:pgSz w:w="16840" w:h="11907" w:orient="landscape"/>
          <w:pgMar w:top="1797" w:right="1440" w:bottom="1797" w:left="1440" w:header="851" w:footer="992" w:gutter="0"/>
          <w:pgNumType w:start="1"/>
          <w:cols w:space="425" w:num="1"/>
          <w:docGrid w:type="linesAndChars" w:linePitch="326" w:charSpace="0"/>
        </w:sectPr>
      </w:pPr>
    </w:p>
    <w:p>
      <w:pPr>
        <w:widowControl/>
        <w:spacing w:line="240" w:lineRule="auto"/>
        <w:ind w:firstLine="0" w:firstLineChars="0"/>
        <w:jc w:val="left"/>
        <w:outlineLvl w:val="0"/>
        <w:rPr>
          <w:b/>
          <w:sz w:val="44"/>
          <w:szCs w:val="44"/>
        </w:rPr>
      </w:pPr>
      <w:bookmarkStart w:id="3" w:name="_Toc57638881"/>
      <w:r>
        <w:rPr>
          <w:rFonts w:hint="eastAsia"/>
          <w:b/>
          <w:sz w:val="44"/>
          <w:szCs w:val="44"/>
        </w:rPr>
        <w:t>二</w:t>
      </w:r>
      <w:r>
        <w:rPr>
          <w:b/>
          <w:sz w:val="44"/>
          <w:szCs w:val="44"/>
        </w:rPr>
        <w:t>、</w:t>
      </w:r>
      <w:r>
        <w:rPr>
          <w:rFonts w:hint="eastAsia"/>
          <w:b/>
          <w:sz w:val="44"/>
          <w:szCs w:val="44"/>
        </w:rPr>
        <w:t>项目</w:t>
      </w:r>
      <w:r>
        <w:rPr>
          <w:b/>
          <w:sz w:val="44"/>
          <w:szCs w:val="44"/>
        </w:rPr>
        <w:t>依据</w:t>
      </w:r>
      <w:bookmarkEnd w:id="3"/>
    </w:p>
    <w:p>
      <w:pPr>
        <w:ind w:firstLine="562"/>
        <w:outlineLvl w:val="1"/>
        <w:rPr>
          <w:b/>
          <w:sz w:val="28"/>
        </w:rPr>
      </w:pPr>
      <w:bookmarkStart w:id="4" w:name="_Toc57638882"/>
      <w:r>
        <w:rPr>
          <w:rFonts w:hint="eastAsia"/>
          <w:b/>
          <w:sz w:val="28"/>
        </w:rPr>
        <w:t>1、</w:t>
      </w:r>
      <w:r>
        <w:rPr>
          <w:b/>
          <w:sz w:val="28"/>
        </w:rPr>
        <w:t>法律</w:t>
      </w:r>
      <w:r>
        <w:rPr>
          <w:rFonts w:hint="eastAsia"/>
          <w:b/>
          <w:sz w:val="28"/>
        </w:rPr>
        <w:t>、</w:t>
      </w:r>
      <w:r>
        <w:rPr>
          <w:b/>
          <w:sz w:val="28"/>
        </w:rPr>
        <w:t>法规</w:t>
      </w:r>
      <w:bookmarkEnd w:id="4"/>
    </w:p>
    <w:p>
      <w:pPr>
        <w:ind w:firstLine="560"/>
        <w:rPr>
          <w:sz w:val="28"/>
        </w:rPr>
      </w:pPr>
      <w:r>
        <w:rPr>
          <w:rFonts w:hint="eastAsia"/>
          <w:sz w:val="28"/>
        </w:rPr>
        <w:t>（1）《中华人民共和国水法》（2016年）；</w:t>
      </w:r>
    </w:p>
    <w:p>
      <w:pPr>
        <w:ind w:firstLine="560"/>
        <w:rPr>
          <w:sz w:val="28"/>
        </w:rPr>
      </w:pPr>
      <w:r>
        <w:rPr>
          <w:rFonts w:hint="eastAsia"/>
          <w:sz w:val="28"/>
        </w:rPr>
        <w:t>（</w:t>
      </w:r>
      <w:r>
        <w:rPr>
          <w:sz w:val="28"/>
        </w:rPr>
        <w:t>2</w:t>
      </w:r>
      <w:r>
        <w:rPr>
          <w:rFonts w:hint="eastAsia"/>
          <w:sz w:val="28"/>
        </w:rPr>
        <w:t>）《中华人民共和国防洪法》（2016年）；</w:t>
      </w:r>
    </w:p>
    <w:p>
      <w:pPr>
        <w:ind w:firstLine="560"/>
        <w:rPr>
          <w:sz w:val="28"/>
        </w:rPr>
      </w:pPr>
      <w:r>
        <w:rPr>
          <w:rFonts w:hint="eastAsia"/>
          <w:sz w:val="28"/>
        </w:rPr>
        <w:t>（3）《中华人民共和国河道管理条例》（2017年）；</w:t>
      </w:r>
    </w:p>
    <w:p>
      <w:pPr>
        <w:ind w:firstLine="560"/>
        <w:rPr>
          <w:sz w:val="28"/>
        </w:rPr>
      </w:pPr>
      <w:r>
        <w:rPr>
          <w:rFonts w:hint="eastAsia"/>
          <w:sz w:val="28"/>
        </w:rPr>
        <w:t>（4）《城市蓝线管理办法》（2006年）；</w:t>
      </w:r>
    </w:p>
    <w:p>
      <w:pPr>
        <w:ind w:firstLine="560"/>
        <w:rPr>
          <w:sz w:val="28"/>
        </w:rPr>
      </w:pPr>
      <w:r>
        <w:rPr>
          <w:rFonts w:hint="eastAsia"/>
          <w:sz w:val="28"/>
        </w:rPr>
        <w:t>（5）《广东省河道管理条例》（20</w:t>
      </w:r>
      <w:r>
        <w:rPr>
          <w:sz w:val="28"/>
        </w:rPr>
        <w:t>20</w:t>
      </w:r>
      <w:r>
        <w:rPr>
          <w:rFonts w:hint="eastAsia"/>
          <w:sz w:val="28"/>
        </w:rPr>
        <w:t>年）；</w:t>
      </w:r>
    </w:p>
    <w:p>
      <w:pPr>
        <w:ind w:firstLine="560"/>
        <w:rPr>
          <w:sz w:val="28"/>
        </w:rPr>
      </w:pPr>
      <w:r>
        <w:rPr>
          <w:rFonts w:hint="eastAsia"/>
          <w:sz w:val="28"/>
        </w:rPr>
        <w:t>（6）《广东省水利工程管理条例》（201</w:t>
      </w:r>
      <w:r>
        <w:rPr>
          <w:sz w:val="28"/>
        </w:rPr>
        <w:t>9</w:t>
      </w:r>
      <w:r>
        <w:rPr>
          <w:rFonts w:hint="eastAsia"/>
          <w:sz w:val="28"/>
        </w:rPr>
        <w:t>年</w:t>
      </w:r>
      <w:r>
        <w:rPr>
          <w:sz w:val="28"/>
        </w:rPr>
        <w:t>修正版</w:t>
      </w:r>
      <w:r>
        <w:rPr>
          <w:rFonts w:hint="eastAsia"/>
          <w:sz w:val="28"/>
        </w:rPr>
        <w:t>）；</w:t>
      </w:r>
    </w:p>
    <w:p>
      <w:pPr>
        <w:ind w:firstLine="560"/>
        <w:rPr>
          <w:sz w:val="28"/>
        </w:rPr>
      </w:pPr>
      <w:r>
        <w:rPr>
          <w:rFonts w:hint="eastAsia"/>
          <w:sz w:val="28"/>
        </w:rPr>
        <w:t>（7）《广东省实施</w:t>
      </w:r>
      <w:r>
        <w:rPr>
          <w:sz w:val="28"/>
        </w:rPr>
        <w:t>&lt;</w:t>
      </w:r>
      <w:r>
        <w:rPr>
          <w:rFonts w:hint="eastAsia"/>
          <w:sz w:val="28"/>
        </w:rPr>
        <w:t>中华人民共和国水法</w:t>
      </w:r>
      <w:r>
        <w:rPr>
          <w:sz w:val="28"/>
        </w:rPr>
        <w:t>&gt;</w:t>
      </w:r>
      <w:r>
        <w:rPr>
          <w:rFonts w:hint="eastAsia"/>
          <w:sz w:val="28"/>
        </w:rPr>
        <w:t>办法》（201</w:t>
      </w:r>
      <w:r>
        <w:rPr>
          <w:sz w:val="28"/>
        </w:rPr>
        <w:t>6</w:t>
      </w:r>
      <w:r>
        <w:rPr>
          <w:rFonts w:hint="eastAsia"/>
          <w:sz w:val="28"/>
        </w:rPr>
        <w:t>年</w:t>
      </w:r>
      <w:r>
        <w:rPr>
          <w:sz w:val="28"/>
        </w:rPr>
        <w:t>修正版</w:t>
      </w:r>
      <w:r>
        <w:rPr>
          <w:rFonts w:hint="eastAsia"/>
          <w:sz w:val="28"/>
        </w:rPr>
        <w:t>）；</w:t>
      </w:r>
    </w:p>
    <w:p>
      <w:pPr>
        <w:ind w:firstLine="560"/>
        <w:rPr>
          <w:sz w:val="28"/>
        </w:rPr>
      </w:pPr>
      <w:r>
        <w:rPr>
          <w:rFonts w:hint="eastAsia"/>
          <w:sz w:val="28"/>
        </w:rPr>
        <w:t>（8）《广州市</w:t>
      </w:r>
      <w:r>
        <w:rPr>
          <w:sz w:val="28"/>
        </w:rPr>
        <w:t>水务管理条例</w:t>
      </w:r>
      <w:r>
        <w:rPr>
          <w:rFonts w:hint="eastAsia"/>
          <w:sz w:val="28"/>
        </w:rPr>
        <w:t>》（2012年）；</w:t>
      </w:r>
    </w:p>
    <w:p>
      <w:pPr>
        <w:ind w:firstLine="560"/>
        <w:rPr>
          <w:sz w:val="28"/>
        </w:rPr>
      </w:pPr>
      <w:r>
        <w:rPr>
          <w:rFonts w:hint="eastAsia"/>
          <w:sz w:val="28"/>
        </w:rPr>
        <w:t>（9）安徽</w:t>
      </w:r>
      <w:r>
        <w:rPr>
          <w:sz w:val="28"/>
        </w:rPr>
        <w:t>、浙江等其他省</w:t>
      </w:r>
      <w:r>
        <w:rPr>
          <w:rFonts w:hint="eastAsia"/>
          <w:sz w:val="28"/>
        </w:rPr>
        <w:t>份</w:t>
      </w:r>
      <w:r>
        <w:rPr>
          <w:sz w:val="28"/>
        </w:rPr>
        <w:t>的</w:t>
      </w:r>
      <w:r>
        <w:rPr>
          <w:rFonts w:hint="eastAsia"/>
          <w:sz w:val="28"/>
        </w:rPr>
        <w:t>划线有关规定等。</w:t>
      </w:r>
    </w:p>
    <w:p>
      <w:pPr>
        <w:ind w:firstLine="562"/>
        <w:outlineLvl w:val="1"/>
        <w:rPr>
          <w:b/>
          <w:sz w:val="28"/>
        </w:rPr>
      </w:pPr>
      <w:bookmarkStart w:id="5" w:name="_Toc57638883"/>
      <w:r>
        <w:rPr>
          <w:b/>
          <w:sz w:val="28"/>
        </w:rPr>
        <w:t>2</w:t>
      </w:r>
      <w:r>
        <w:rPr>
          <w:rFonts w:hint="eastAsia"/>
          <w:b/>
          <w:sz w:val="28"/>
        </w:rPr>
        <w:t>、规程、规范</w:t>
      </w:r>
      <w:bookmarkEnd w:id="5"/>
    </w:p>
    <w:p>
      <w:pPr>
        <w:ind w:firstLine="560"/>
        <w:rPr>
          <w:sz w:val="28"/>
        </w:rPr>
      </w:pPr>
      <w:r>
        <w:rPr>
          <w:rFonts w:hint="eastAsia"/>
          <w:sz w:val="28"/>
        </w:rPr>
        <w:t>（1）《水闸工程管理设计规范》（SL170-96）；</w:t>
      </w:r>
    </w:p>
    <w:p>
      <w:pPr>
        <w:ind w:firstLine="560"/>
        <w:rPr>
          <w:sz w:val="28"/>
        </w:rPr>
      </w:pPr>
      <w:r>
        <w:rPr>
          <w:rFonts w:hint="eastAsia"/>
          <w:sz w:val="28"/>
        </w:rPr>
        <w:t>（2）《水闸设计规范》（SL265-2016）；</w:t>
      </w:r>
    </w:p>
    <w:p>
      <w:pPr>
        <w:ind w:firstLine="560"/>
        <w:rPr>
          <w:sz w:val="28"/>
        </w:rPr>
      </w:pPr>
      <w:r>
        <w:rPr>
          <w:rFonts w:hint="eastAsia"/>
          <w:sz w:val="28"/>
        </w:rPr>
        <w:t>（3）《堤防工程管理设计规范》（SL170-96）；</w:t>
      </w:r>
    </w:p>
    <w:p>
      <w:pPr>
        <w:ind w:firstLine="560"/>
        <w:rPr>
          <w:sz w:val="28"/>
        </w:rPr>
      </w:pPr>
      <w:r>
        <w:rPr>
          <w:rFonts w:hint="eastAsia"/>
          <w:sz w:val="28"/>
        </w:rPr>
        <w:t>（4）《堤防工程设计规范》（GB502856-2013）；</w:t>
      </w:r>
    </w:p>
    <w:p>
      <w:pPr>
        <w:ind w:firstLine="560"/>
        <w:rPr>
          <w:sz w:val="28"/>
        </w:rPr>
      </w:pPr>
      <w:r>
        <w:rPr>
          <w:rFonts w:hint="eastAsia"/>
          <w:sz w:val="28"/>
        </w:rPr>
        <w:t>（5）《广东省水利基础设施空间布局规划辅导材料》；</w:t>
      </w:r>
    </w:p>
    <w:p>
      <w:pPr>
        <w:ind w:firstLine="560"/>
        <w:rPr>
          <w:sz w:val="28"/>
        </w:rPr>
      </w:pPr>
      <w:r>
        <w:rPr>
          <w:rFonts w:hint="eastAsia"/>
          <w:sz w:val="28"/>
        </w:rPr>
        <w:t>（</w:t>
      </w:r>
      <w:r>
        <w:rPr>
          <w:sz w:val="28"/>
        </w:rPr>
        <w:t>6</w:t>
      </w:r>
      <w:r>
        <w:rPr>
          <w:rFonts w:hint="eastAsia"/>
          <w:sz w:val="28"/>
        </w:rPr>
        <w:t>）《水利水电工程等级划分及洪水标准（SL252-2017）》；</w:t>
      </w:r>
    </w:p>
    <w:p>
      <w:pPr>
        <w:ind w:firstLine="560"/>
        <w:rPr>
          <w:sz w:val="28"/>
        </w:rPr>
      </w:pPr>
      <w:r>
        <w:rPr>
          <w:rFonts w:hint="eastAsia"/>
          <w:sz w:val="28"/>
        </w:rPr>
        <w:t>（</w:t>
      </w:r>
      <w:r>
        <w:rPr>
          <w:sz w:val="28"/>
        </w:rPr>
        <w:t>7</w:t>
      </w:r>
      <w:r>
        <w:rPr>
          <w:rFonts w:hint="eastAsia"/>
          <w:sz w:val="28"/>
        </w:rPr>
        <w:t>）《泵站设计规范（GB 50265-2010）》等。</w:t>
      </w:r>
    </w:p>
    <w:p>
      <w:pPr>
        <w:ind w:firstLine="562"/>
        <w:outlineLvl w:val="1"/>
        <w:rPr>
          <w:b/>
          <w:sz w:val="28"/>
        </w:rPr>
      </w:pPr>
      <w:bookmarkStart w:id="6" w:name="_Toc57638884"/>
      <w:r>
        <w:rPr>
          <w:b/>
          <w:sz w:val="28"/>
        </w:rPr>
        <w:t>3</w:t>
      </w:r>
      <w:r>
        <w:rPr>
          <w:rFonts w:hint="eastAsia"/>
          <w:b/>
          <w:sz w:val="28"/>
        </w:rPr>
        <w:t>、基础资料</w:t>
      </w:r>
      <w:bookmarkEnd w:id="6"/>
    </w:p>
    <w:p>
      <w:pPr>
        <w:ind w:firstLine="560"/>
        <w:rPr>
          <w:sz w:val="28"/>
        </w:rPr>
      </w:pPr>
      <w:r>
        <w:rPr>
          <w:rFonts w:hint="eastAsia"/>
          <w:sz w:val="28"/>
        </w:rPr>
        <w:t>（1）越秀区近年来</w:t>
      </w:r>
      <w:r>
        <w:rPr>
          <w:sz w:val="28"/>
        </w:rPr>
        <w:t>实测水闸泵站</w:t>
      </w:r>
      <w:r>
        <w:rPr>
          <w:rFonts w:hint="eastAsia"/>
          <w:sz w:val="28"/>
        </w:rPr>
        <w:t>平面图及2020年新测水闸7座、泵站1座，</w:t>
      </w:r>
      <w:r>
        <w:rPr>
          <w:sz w:val="28"/>
        </w:rPr>
        <w:t>测量精度为</w:t>
      </w:r>
      <w:r>
        <w:rPr>
          <w:rFonts w:hint="eastAsia"/>
          <w:sz w:val="28"/>
        </w:rPr>
        <w:t>1:500；</w:t>
      </w:r>
    </w:p>
    <w:p>
      <w:pPr>
        <w:ind w:firstLine="560"/>
        <w:rPr>
          <w:sz w:val="28"/>
        </w:rPr>
      </w:pPr>
      <w:r>
        <w:rPr>
          <w:rFonts w:hint="eastAsia"/>
          <w:sz w:val="28"/>
        </w:rPr>
        <w:t>（2）广州市2005年测绘的1:2000地形图及近年来</w:t>
      </w:r>
      <w:r>
        <w:rPr>
          <w:sz w:val="28"/>
        </w:rPr>
        <w:t>河涌整治</w:t>
      </w:r>
      <w:r>
        <w:rPr>
          <w:rFonts w:hint="eastAsia"/>
          <w:sz w:val="28"/>
        </w:rPr>
        <w:t>条带</w:t>
      </w:r>
      <w:r>
        <w:rPr>
          <w:sz w:val="28"/>
        </w:rPr>
        <w:t>图；</w:t>
      </w:r>
      <w:r>
        <w:rPr>
          <w:rFonts w:hint="eastAsia"/>
          <w:sz w:val="28"/>
        </w:rPr>
        <w:t>沙河涌及水均岗涌采用2016年清淤整治工程测量条带图，东濠涌采用一期、二期整治工程所采用的的地形及岸线设计图，景泰涌采用2009年清淤整治工程测量条带图；</w:t>
      </w:r>
    </w:p>
    <w:p>
      <w:pPr>
        <w:ind w:firstLine="560"/>
        <w:rPr>
          <w:sz w:val="28"/>
        </w:rPr>
      </w:pPr>
      <w:r>
        <w:rPr>
          <w:rFonts w:hint="eastAsia"/>
          <w:sz w:val="28"/>
        </w:rPr>
        <w:t>（3）广州2015年去云影像图；</w:t>
      </w:r>
    </w:p>
    <w:p>
      <w:pPr>
        <w:ind w:firstLine="560"/>
        <w:rPr>
          <w:sz w:val="28"/>
        </w:rPr>
      </w:pPr>
      <w:r>
        <w:rPr>
          <w:rFonts w:hint="eastAsia"/>
          <w:sz w:val="28"/>
        </w:rPr>
        <w:t>（</w:t>
      </w:r>
      <w:r>
        <w:rPr>
          <w:sz w:val="28"/>
        </w:rPr>
        <w:t>4</w:t>
      </w:r>
      <w:r>
        <w:rPr>
          <w:rFonts w:hint="eastAsia"/>
          <w:sz w:val="28"/>
        </w:rPr>
        <w:t>）广州市第一次水利普查成果等。</w:t>
      </w:r>
    </w:p>
    <w:p>
      <w:pPr>
        <w:ind w:firstLine="560"/>
        <w:rPr>
          <w:sz w:val="28"/>
        </w:rPr>
      </w:pPr>
    </w:p>
    <w:p>
      <w:pPr>
        <w:ind w:firstLine="560"/>
        <w:rPr>
          <w:sz w:val="28"/>
        </w:rPr>
        <w:sectPr>
          <w:footerReference r:id="rId10" w:type="default"/>
          <w:pgSz w:w="16840" w:h="11907" w:orient="landscape"/>
          <w:pgMar w:top="1797" w:right="1440" w:bottom="1797" w:left="1440" w:header="851" w:footer="992" w:gutter="0"/>
          <w:cols w:space="425" w:num="1"/>
          <w:docGrid w:type="linesAndChars" w:linePitch="326" w:charSpace="0"/>
        </w:sectPr>
      </w:pPr>
    </w:p>
    <w:p>
      <w:pPr>
        <w:widowControl/>
        <w:spacing w:line="240" w:lineRule="auto"/>
        <w:ind w:firstLine="0" w:firstLineChars="0"/>
        <w:jc w:val="left"/>
        <w:outlineLvl w:val="0"/>
        <w:rPr>
          <w:b/>
          <w:sz w:val="44"/>
          <w:szCs w:val="44"/>
        </w:rPr>
      </w:pPr>
      <w:bookmarkStart w:id="7" w:name="_Toc57638885"/>
      <w:r>
        <w:rPr>
          <w:rFonts w:hint="eastAsia"/>
          <w:b/>
          <w:sz w:val="44"/>
          <w:szCs w:val="44"/>
        </w:rPr>
        <w:t>三</w:t>
      </w:r>
      <w:r>
        <w:rPr>
          <w:b/>
          <w:sz w:val="44"/>
          <w:szCs w:val="44"/>
        </w:rPr>
        <w:t>、</w:t>
      </w:r>
      <w:r>
        <w:rPr>
          <w:rFonts w:hint="eastAsia"/>
          <w:b/>
          <w:sz w:val="44"/>
          <w:szCs w:val="44"/>
        </w:rPr>
        <w:t>基本情况</w:t>
      </w:r>
      <w:bookmarkEnd w:id="7"/>
    </w:p>
    <w:p>
      <w:pPr>
        <w:ind w:firstLine="562"/>
        <w:outlineLvl w:val="1"/>
        <w:rPr>
          <w:b/>
          <w:sz w:val="28"/>
        </w:rPr>
      </w:pPr>
      <w:bookmarkStart w:id="8" w:name="_Toc57638886"/>
      <w:r>
        <w:rPr>
          <w:rFonts w:hint="eastAsia"/>
          <w:b/>
          <w:sz w:val="28"/>
        </w:rPr>
        <w:t>1、水闸泵站工程</w:t>
      </w:r>
      <w:bookmarkEnd w:id="8"/>
    </w:p>
    <w:p>
      <w:pPr>
        <w:ind w:firstLine="560"/>
        <w:rPr>
          <w:sz w:val="28"/>
        </w:rPr>
      </w:pPr>
      <w:r>
        <w:rPr>
          <w:rFonts w:hint="eastAsia"/>
          <w:sz w:val="28"/>
        </w:rPr>
        <w:t>越秀区划定</w:t>
      </w:r>
      <w:r>
        <w:rPr>
          <w:sz w:val="28"/>
        </w:rPr>
        <w:t>水闸泵站工程其基本参数表如下</w:t>
      </w:r>
      <w:r>
        <w:rPr>
          <w:rFonts w:hint="eastAsia"/>
          <w:sz w:val="28"/>
        </w:rPr>
        <w:t>，</w:t>
      </w:r>
      <w:r>
        <w:rPr>
          <w:rFonts w:hint="eastAsia"/>
          <w:sz w:val="28"/>
          <w:szCs w:val="20"/>
        </w:rPr>
        <w:t>分别</w:t>
      </w:r>
      <w:r>
        <w:rPr>
          <w:sz w:val="28"/>
          <w:szCs w:val="20"/>
        </w:rPr>
        <w:t>承担防洪</w:t>
      </w:r>
      <w:r>
        <w:rPr>
          <w:rFonts w:hint="eastAsia"/>
          <w:sz w:val="28"/>
          <w:szCs w:val="20"/>
        </w:rPr>
        <w:t>、</w:t>
      </w:r>
      <w:r>
        <w:rPr>
          <w:sz w:val="28"/>
          <w:szCs w:val="20"/>
        </w:rPr>
        <w:t>排涝、补水</w:t>
      </w:r>
      <w:r>
        <w:rPr>
          <w:rFonts w:hint="eastAsia"/>
          <w:sz w:val="28"/>
          <w:szCs w:val="20"/>
        </w:rPr>
        <w:t>、</w:t>
      </w:r>
      <w:r>
        <w:rPr>
          <w:sz w:val="28"/>
          <w:szCs w:val="20"/>
        </w:rPr>
        <w:t>截污排污等功能</w:t>
      </w:r>
      <w:r>
        <w:rPr>
          <w:sz w:val="28"/>
        </w:rPr>
        <w:t>。</w:t>
      </w:r>
    </w:p>
    <w:p>
      <w:pPr>
        <w:pStyle w:val="21"/>
        <w:rPr>
          <w:sz w:val="28"/>
        </w:rPr>
      </w:pPr>
      <w:r>
        <w:rPr>
          <w:rFonts w:hint="eastAsia"/>
          <w:sz w:val="28"/>
        </w:rPr>
        <w:t>表3-1 越秀区划定</w:t>
      </w:r>
      <w:r>
        <w:rPr>
          <w:sz w:val="28"/>
        </w:rPr>
        <w:t>水闸工程</w:t>
      </w:r>
      <w:r>
        <w:rPr>
          <w:rFonts w:hint="eastAsia"/>
          <w:sz w:val="28"/>
        </w:rPr>
        <w:t>基本</w:t>
      </w:r>
      <w:r>
        <w:rPr>
          <w:sz w:val="28"/>
        </w:rPr>
        <w:t>参数表</w:t>
      </w:r>
    </w:p>
    <w:tbl>
      <w:tblPr>
        <w:tblStyle w:val="12"/>
        <w:tblW w:w="5000" w:type="pct"/>
        <w:tblInd w:w="0" w:type="dxa"/>
        <w:tblLayout w:type="autofit"/>
        <w:tblCellMar>
          <w:top w:w="0" w:type="dxa"/>
          <w:left w:w="108" w:type="dxa"/>
          <w:bottom w:w="0" w:type="dxa"/>
          <w:right w:w="108" w:type="dxa"/>
        </w:tblCellMar>
      </w:tblPr>
      <w:tblGrid>
        <w:gridCol w:w="698"/>
        <w:gridCol w:w="2856"/>
        <w:gridCol w:w="4056"/>
        <w:gridCol w:w="2662"/>
        <w:gridCol w:w="1180"/>
        <w:gridCol w:w="1540"/>
        <w:gridCol w:w="1184"/>
      </w:tblGrid>
      <w:tr>
        <w:tblPrEx>
          <w:tblCellMar>
            <w:top w:w="0" w:type="dxa"/>
            <w:left w:w="108" w:type="dxa"/>
            <w:bottom w:w="0" w:type="dxa"/>
            <w:right w:w="108" w:type="dxa"/>
          </w:tblCellMar>
        </w:tblPrEx>
        <w:trPr>
          <w:trHeight w:val="315" w:hRule="atLeast"/>
          <w:tblHeader/>
        </w:trPr>
        <w:tc>
          <w:tcPr>
            <w:tcW w:w="376" w:type="pct"/>
            <w:tcBorders>
              <w:top w:val="double" w:color="auto" w:sz="6" w:space="0"/>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序号</w:t>
            </w:r>
          </w:p>
        </w:tc>
        <w:tc>
          <w:tcPr>
            <w:tcW w:w="876" w:type="pct"/>
            <w:tcBorders>
              <w:top w:val="double" w:color="auto" w:sz="6" w:space="0"/>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名称</w:t>
            </w:r>
          </w:p>
        </w:tc>
        <w:tc>
          <w:tcPr>
            <w:tcW w:w="1321" w:type="pct"/>
            <w:tcBorders>
              <w:top w:val="double" w:color="auto" w:sz="6" w:space="0"/>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位置</w:t>
            </w:r>
          </w:p>
        </w:tc>
        <w:tc>
          <w:tcPr>
            <w:tcW w:w="828" w:type="pct"/>
            <w:tcBorders>
              <w:top w:val="double" w:color="auto" w:sz="6" w:space="0"/>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尺寸（</w:t>
            </w:r>
            <w:r>
              <w:rPr>
                <w:b/>
                <w:color w:val="000000"/>
                <w:kern w:val="0"/>
                <w:szCs w:val="24"/>
              </w:rPr>
              <w:t>B</w:t>
            </w:r>
            <w:r>
              <w:rPr>
                <w:rFonts w:hint="eastAsia" w:ascii="宋体" w:hAnsi="宋体" w:cs="宋体"/>
                <w:b/>
                <w:color w:val="000000"/>
                <w:kern w:val="0"/>
                <w:szCs w:val="24"/>
              </w:rPr>
              <w:t>×</w:t>
            </w:r>
            <w:r>
              <w:rPr>
                <w:b/>
                <w:color w:val="000000"/>
                <w:kern w:val="0"/>
                <w:szCs w:val="24"/>
              </w:rPr>
              <w:t>(H)</w:t>
            </w:r>
            <w:r>
              <w:rPr>
                <w:rFonts w:hint="eastAsia" w:ascii="宋体" w:hAnsi="宋体" w:cs="宋体"/>
                <w:b/>
                <w:color w:val="000000"/>
                <w:kern w:val="0"/>
                <w:szCs w:val="24"/>
              </w:rPr>
              <w:t>×</w:t>
            </w:r>
            <w:r>
              <w:rPr>
                <w:b/>
                <w:color w:val="000000"/>
                <w:kern w:val="0"/>
                <w:szCs w:val="24"/>
              </w:rPr>
              <w:t>n</w:t>
            </w:r>
            <w:r>
              <w:rPr>
                <w:rFonts w:hint="eastAsia" w:ascii="宋体" w:hAnsi="宋体" w:cs="宋体"/>
                <w:b/>
                <w:color w:val="000000"/>
                <w:kern w:val="0"/>
                <w:szCs w:val="24"/>
              </w:rPr>
              <w:t>）</w:t>
            </w:r>
            <w:r>
              <w:rPr>
                <w:b/>
                <w:color w:val="000000"/>
                <w:kern w:val="0"/>
                <w:szCs w:val="24"/>
              </w:rPr>
              <w:t>(m)</w:t>
            </w:r>
          </w:p>
        </w:tc>
        <w:tc>
          <w:tcPr>
            <w:tcW w:w="376" w:type="pct"/>
            <w:tcBorders>
              <w:top w:val="double" w:color="auto" w:sz="6" w:space="0"/>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建设年代</w:t>
            </w:r>
          </w:p>
        </w:tc>
        <w:tc>
          <w:tcPr>
            <w:tcW w:w="473" w:type="pct"/>
            <w:tcBorders>
              <w:top w:val="double" w:color="auto" w:sz="6" w:space="0"/>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闸底高程</w:t>
            </w:r>
            <w:r>
              <w:rPr>
                <w:b/>
                <w:color w:val="000000"/>
                <w:kern w:val="0"/>
                <w:szCs w:val="24"/>
              </w:rPr>
              <w:t>(m)</w:t>
            </w:r>
          </w:p>
        </w:tc>
        <w:tc>
          <w:tcPr>
            <w:tcW w:w="751" w:type="pct"/>
            <w:tcBorders>
              <w:top w:val="double" w:color="auto" w:sz="6" w:space="0"/>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主要功能</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麓湖水闸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麓湖出口</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w:t>
            </w:r>
            <w:r>
              <w:rPr>
                <w:rFonts w:hint="eastAsia" w:ascii="宋体" w:hAnsi="宋体"/>
                <w:color w:val="000000"/>
                <w:kern w:val="0"/>
                <w:szCs w:val="24"/>
              </w:rPr>
              <w:t>×</w:t>
            </w:r>
            <w:r>
              <w:rPr>
                <w:rFonts w:eastAsia="等线"/>
                <w:color w:val="000000"/>
                <w:kern w:val="0"/>
                <w:szCs w:val="24"/>
              </w:rPr>
              <w:t>1</w:t>
            </w:r>
            <w:r>
              <w:rPr>
                <w:rFonts w:hint="eastAsia" w:ascii="宋体" w:hAnsi="宋体"/>
                <w:color w:val="000000"/>
                <w:kern w:val="0"/>
                <w:szCs w:val="24"/>
              </w:rPr>
              <w:t>×</w:t>
            </w:r>
            <w:r>
              <w:rPr>
                <w:rFonts w:eastAsia="等线"/>
                <w:color w:val="000000"/>
                <w:kern w:val="0"/>
                <w:szCs w:val="24"/>
              </w:rPr>
              <w:t>2</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13.47</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排涝</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东濠涌水闸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东濠涌涌口</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12</w:t>
            </w:r>
            <w:r>
              <w:rPr>
                <w:rFonts w:hint="eastAsia" w:ascii="宋体" w:hAnsi="宋体"/>
                <w:color w:val="000000"/>
                <w:kern w:val="0"/>
                <w:szCs w:val="24"/>
              </w:rPr>
              <w:t>×</w:t>
            </w:r>
            <w:r>
              <w:rPr>
                <w:rFonts w:eastAsia="等线"/>
                <w:color w:val="000000"/>
                <w:kern w:val="0"/>
                <w:szCs w:val="24"/>
              </w:rPr>
              <w:t>2</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1999</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2.88</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防洪排涝</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3</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新河浦涌</w:t>
            </w:r>
            <w:r>
              <w:rPr>
                <w:color w:val="000000"/>
                <w:kern w:val="0"/>
                <w:szCs w:val="24"/>
              </w:rPr>
              <w:t>1</w:t>
            </w:r>
            <w:r>
              <w:rPr>
                <w:rFonts w:hint="eastAsia" w:ascii="宋体" w:hAnsi="宋体" w:cs="宋体"/>
                <w:color w:val="000000"/>
                <w:kern w:val="0"/>
                <w:szCs w:val="24"/>
              </w:rPr>
              <w:t>号闸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新河浦西段，东湖路以西</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12</w:t>
            </w:r>
            <w:r>
              <w:rPr>
                <w:rFonts w:hint="eastAsia" w:ascii="宋体" w:hAnsi="宋体"/>
                <w:color w:val="000000"/>
                <w:kern w:val="0"/>
                <w:szCs w:val="24"/>
              </w:rPr>
              <w:t>×</w:t>
            </w:r>
            <w:r>
              <w:rPr>
                <w:rFonts w:eastAsia="等线"/>
                <w:color w:val="000000"/>
                <w:kern w:val="0"/>
                <w:szCs w:val="24"/>
              </w:rPr>
              <w:t>2.9</w:t>
            </w:r>
            <w:r>
              <w:rPr>
                <w:rFonts w:hint="eastAsia" w:ascii="宋体" w:hAnsi="宋体"/>
                <w:color w:val="000000"/>
                <w:kern w:val="0"/>
                <w:szCs w:val="24"/>
              </w:rPr>
              <w:t>×</w:t>
            </w:r>
            <w:r>
              <w:rPr>
                <w:rFonts w:eastAsia="等线"/>
                <w:color w:val="000000"/>
                <w:kern w:val="0"/>
                <w:szCs w:val="24"/>
              </w:rPr>
              <w:t>1</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2002</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节制</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4</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新河浦涌</w:t>
            </w:r>
            <w:r>
              <w:rPr>
                <w:color w:val="000000"/>
                <w:kern w:val="0"/>
                <w:szCs w:val="24"/>
              </w:rPr>
              <w:t>2</w:t>
            </w:r>
            <w:r>
              <w:rPr>
                <w:rFonts w:hint="eastAsia" w:ascii="宋体" w:hAnsi="宋体" w:cs="宋体"/>
                <w:color w:val="000000"/>
                <w:kern w:val="0"/>
                <w:szCs w:val="24"/>
              </w:rPr>
              <w:t>号闸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新河浦东段，东湖路以东</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12</w:t>
            </w:r>
            <w:r>
              <w:rPr>
                <w:rFonts w:hint="eastAsia" w:ascii="宋体" w:hAnsi="宋体"/>
                <w:color w:val="000000"/>
                <w:kern w:val="0"/>
                <w:szCs w:val="24"/>
              </w:rPr>
              <w:t>×</w:t>
            </w:r>
            <w:r>
              <w:rPr>
                <w:rFonts w:eastAsia="等线"/>
                <w:color w:val="000000"/>
                <w:kern w:val="0"/>
                <w:szCs w:val="24"/>
              </w:rPr>
              <w:t>2.9</w:t>
            </w:r>
            <w:r>
              <w:rPr>
                <w:rFonts w:hint="eastAsia" w:ascii="宋体" w:hAnsi="宋体"/>
                <w:color w:val="000000"/>
                <w:kern w:val="0"/>
                <w:szCs w:val="24"/>
              </w:rPr>
              <w:t>×</w:t>
            </w:r>
            <w:r>
              <w:rPr>
                <w:rFonts w:eastAsia="等线"/>
                <w:color w:val="000000"/>
                <w:kern w:val="0"/>
                <w:szCs w:val="24"/>
              </w:rPr>
              <w:t>1</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2002</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节制</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5</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东山湖</w:t>
            </w:r>
            <w:r>
              <w:rPr>
                <w:color w:val="000000"/>
                <w:kern w:val="0"/>
                <w:szCs w:val="24"/>
              </w:rPr>
              <w:t>4</w:t>
            </w:r>
            <w:r>
              <w:rPr>
                <w:rFonts w:hint="eastAsia" w:ascii="宋体" w:hAnsi="宋体" w:cs="宋体"/>
                <w:color w:val="000000"/>
                <w:kern w:val="0"/>
                <w:szCs w:val="24"/>
              </w:rPr>
              <w:t>号闸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东山湖入湖处</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5.36</w:t>
            </w:r>
            <w:r>
              <w:rPr>
                <w:rFonts w:hint="eastAsia" w:ascii="宋体" w:hAnsi="宋体"/>
                <w:color w:val="000000"/>
                <w:kern w:val="0"/>
                <w:szCs w:val="24"/>
              </w:rPr>
              <w:t>×</w:t>
            </w:r>
            <w:r>
              <w:rPr>
                <w:rFonts w:eastAsia="等线"/>
                <w:color w:val="000000"/>
                <w:kern w:val="0"/>
                <w:szCs w:val="24"/>
              </w:rPr>
              <w:t>2.9</w:t>
            </w:r>
            <w:r>
              <w:rPr>
                <w:rFonts w:hint="eastAsia" w:ascii="宋体" w:hAnsi="宋体"/>
                <w:color w:val="000000"/>
                <w:kern w:val="0"/>
                <w:szCs w:val="24"/>
              </w:rPr>
              <w:t>×</w:t>
            </w:r>
            <w:r>
              <w:rPr>
                <w:rFonts w:eastAsia="等线"/>
                <w:color w:val="000000"/>
                <w:kern w:val="0"/>
                <w:szCs w:val="24"/>
              </w:rPr>
              <w:t>1</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排涝补水</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6</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东山湖</w:t>
            </w:r>
            <w:r>
              <w:rPr>
                <w:color w:val="000000"/>
                <w:kern w:val="0"/>
                <w:szCs w:val="24"/>
              </w:rPr>
              <w:t>5</w:t>
            </w:r>
            <w:r>
              <w:rPr>
                <w:rFonts w:hint="eastAsia" w:ascii="宋体" w:hAnsi="宋体" w:cs="宋体"/>
                <w:color w:val="000000"/>
                <w:kern w:val="0"/>
                <w:szCs w:val="24"/>
              </w:rPr>
              <w:t>号闸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东山湖东部，近省委</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6</w:t>
            </w:r>
            <w:r>
              <w:rPr>
                <w:rFonts w:hint="eastAsia" w:ascii="宋体" w:hAnsi="宋体"/>
                <w:color w:val="000000"/>
                <w:kern w:val="0"/>
                <w:szCs w:val="24"/>
              </w:rPr>
              <w:t>×</w:t>
            </w:r>
            <w:r>
              <w:rPr>
                <w:rFonts w:eastAsia="等线"/>
                <w:color w:val="000000"/>
                <w:kern w:val="0"/>
                <w:szCs w:val="24"/>
              </w:rPr>
              <w:t>1</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补水</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7</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东山湖</w:t>
            </w:r>
            <w:r>
              <w:rPr>
                <w:color w:val="000000"/>
                <w:kern w:val="0"/>
                <w:szCs w:val="24"/>
              </w:rPr>
              <w:t>6</w:t>
            </w:r>
            <w:r>
              <w:rPr>
                <w:rFonts w:hint="eastAsia" w:ascii="宋体" w:hAnsi="宋体" w:cs="宋体"/>
                <w:color w:val="000000"/>
                <w:kern w:val="0"/>
                <w:szCs w:val="24"/>
              </w:rPr>
              <w:t>号闸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东山湖沿江，珠岛宾馆</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6.4</w:t>
            </w:r>
            <w:r>
              <w:rPr>
                <w:rFonts w:hint="eastAsia" w:ascii="宋体" w:hAnsi="宋体"/>
                <w:color w:val="000000"/>
                <w:kern w:val="0"/>
                <w:szCs w:val="24"/>
              </w:rPr>
              <w:t>×</w:t>
            </w:r>
            <w:r>
              <w:rPr>
                <w:rFonts w:eastAsia="等线"/>
                <w:color w:val="000000"/>
                <w:kern w:val="0"/>
                <w:szCs w:val="24"/>
              </w:rPr>
              <w:t>4.5</w:t>
            </w:r>
            <w:r>
              <w:rPr>
                <w:rFonts w:hint="eastAsia" w:ascii="宋体" w:hAnsi="宋体"/>
                <w:color w:val="000000"/>
                <w:kern w:val="0"/>
                <w:szCs w:val="24"/>
              </w:rPr>
              <w:t>×</w:t>
            </w:r>
            <w:r>
              <w:rPr>
                <w:rFonts w:eastAsia="等线"/>
                <w:color w:val="000000"/>
                <w:kern w:val="0"/>
                <w:szCs w:val="24"/>
              </w:rPr>
              <w:t>1</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1990</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3.62</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防洪排涝</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8</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东山湖</w:t>
            </w:r>
            <w:r>
              <w:rPr>
                <w:color w:val="000000"/>
                <w:kern w:val="0"/>
                <w:szCs w:val="24"/>
              </w:rPr>
              <w:t>8</w:t>
            </w:r>
            <w:r>
              <w:rPr>
                <w:rFonts w:hint="eastAsia" w:ascii="宋体" w:hAnsi="宋体" w:cs="宋体"/>
                <w:color w:val="000000"/>
                <w:kern w:val="0"/>
                <w:szCs w:val="24"/>
              </w:rPr>
              <w:t>号闸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东山湖沿江，武警部队处</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3.7</w:t>
            </w:r>
            <w:r>
              <w:rPr>
                <w:rFonts w:hint="eastAsia" w:ascii="宋体" w:hAnsi="宋体"/>
                <w:color w:val="000000"/>
                <w:kern w:val="0"/>
                <w:szCs w:val="24"/>
              </w:rPr>
              <w:t>×</w:t>
            </w:r>
            <w:r>
              <w:rPr>
                <w:rFonts w:eastAsia="等线"/>
                <w:color w:val="000000"/>
                <w:kern w:val="0"/>
                <w:szCs w:val="24"/>
              </w:rPr>
              <w:t>1</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1987</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防洪排涝</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9</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东山湖</w:t>
            </w:r>
            <w:r>
              <w:rPr>
                <w:color w:val="000000"/>
                <w:kern w:val="0"/>
                <w:szCs w:val="24"/>
              </w:rPr>
              <w:t>9</w:t>
            </w:r>
            <w:r>
              <w:rPr>
                <w:rFonts w:hint="eastAsia" w:ascii="宋体" w:hAnsi="宋体" w:cs="宋体"/>
                <w:color w:val="000000"/>
                <w:kern w:val="0"/>
                <w:szCs w:val="24"/>
              </w:rPr>
              <w:t>号闸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东山湖沿江，武警部队处</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3.7</w:t>
            </w:r>
            <w:r>
              <w:rPr>
                <w:rFonts w:hint="eastAsia" w:ascii="宋体" w:hAnsi="宋体"/>
                <w:color w:val="000000"/>
                <w:kern w:val="0"/>
                <w:szCs w:val="24"/>
              </w:rPr>
              <w:t>×</w:t>
            </w:r>
            <w:r>
              <w:rPr>
                <w:rFonts w:eastAsia="等线"/>
                <w:color w:val="000000"/>
                <w:kern w:val="0"/>
                <w:szCs w:val="24"/>
              </w:rPr>
              <w:t>1</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1987</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防洪排涝</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10</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沙河涌出口水闸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沙河涌涌口</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10</w:t>
            </w:r>
            <w:r>
              <w:rPr>
                <w:rFonts w:hint="eastAsia" w:ascii="宋体" w:hAnsi="宋体"/>
                <w:color w:val="000000"/>
                <w:kern w:val="0"/>
                <w:szCs w:val="24"/>
              </w:rPr>
              <w:t>×</w:t>
            </w:r>
            <w:r>
              <w:rPr>
                <w:rFonts w:eastAsia="等线"/>
                <w:color w:val="000000"/>
                <w:kern w:val="0"/>
                <w:szCs w:val="24"/>
              </w:rPr>
              <w:t>4.15</w:t>
            </w:r>
            <w:r>
              <w:rPr>
                <w:rFonts w:hint="eastAsia" w:ascii="宋体" w:hAnsi="宋体"/>
                <w:color w:val="000000"/>
                <w:kern w:val="0"/>
                <w:szCs w:val="24"/>
              </w:rPr>
              <w:t>×</w:t>
            </w:r>
            <w:r>
              <w:rPr>
                <w:rFonts w:eastAsia="等线"/>
                <w:color w:val="000000"/>
                <w:kern w:val="0"/>
                <w:szCs w:val="24"/>
              </w:rPr>
              <w:t>2</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2004</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3.26</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防洪排涝</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11</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水均岗支涌水闸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水均岗明涌段起点，中山一路处</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4.5</w:t>
            </w:r>
            <w:r>
              <w:rPr>
                <w:rFonts w:hint="eastAsia" w:ascii="宋体" w:hAnsi="宋体"/>
                <w:color w:val="000000"/>
                <w:kern w:val="0"/>
                <w:szCs w:val="24"/>
              </w:rPr>
              <w:t>×</w:t>
            </w:r>
            <w:r>
              <w:rPr>
                <w:rFonts w:eastAsia="等线"/>
                <w:color w:val="000000"/>
                <w:kern w:val="0"/>
                <w:szCs w:val="24"/>
              </w:rPr>
              <w:t>2</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2010</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节制</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12</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流花湖</w:t>
            </w:r>
            <w:r>
              <w:rPr>
                <w:color w:val="000000"/>
                <w:kern w:val="0"/>
                <w:szCs w:val="24"/>
              </w:rPr>
              <w:t>2</w:t>
            </w:r>
            <w:r>
              <w:rPr>
                <w:rFonts w:hint="eastAsia" w:ascii="宋体" w:hAnsi="宋体" w:cs="宋体"/>
                <w:color w:val="000000"/>
                <w:kern w:val="0"/>
                <w:szCs w:val="24"/>
              </w:rPr>
              <w:t>号闸（出水闸）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流花湖与驷马涌交汇处（东风西路）</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5.2</w:t>
            </w:r>
            <w:r>
              <w:rPr>
                <w:rFonts w:hint="eastAsia" w:ascii="宋体" w:hAnsi="宋体"/>
                <w:color w:val="000000"/>
                <w:kern w:val="0"/>
                <w:szCs w:val="24"/>
              </w:rPr>
              <w:t>×</w:t>
            </w:r>
            <w:r>
              <w:rPr>
                <w:rFonts w:eastAsia="等线"/>
                <w:color w:val="000000"/>
                <w:kern w:val="0"/>
                <w:szCs w:val="24"/>
              </w:rPr>
              <w:t>2</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1987</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排涝</w:t>
            </w:r>
          </w:p>
        </w:tc>
      </w:tr>
      <w:tr>
        <w:tblPrEx>
          <w:tblCellMar>
            <w:top w:w="0" w:type="dxa"/>
            <w:left w:w="108" w:type="dxa"/>
            <w:bottom w:w="0" w:type="dxa"/>
            <w:right w:w="108" w:type="dxa"/>
          </w:tblCellMar>
        </w:tblPrEx>
        <w:trPr>
          <w:trHeight w:val="300" w:hRule="atLeast"/>
        </w:trPr>
        <w:tc>
          <w:tcPr>
            <w:tcW w:w="376"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13</w:t>
            </w:r>
          </w:p>
        </w:tc>
        <w:tc>
          <w:tcPr>
            <w:tcW w:w="8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流花湖</w:t>
            </w:r>
            <w:r>
              <w:rPr>
                <w:color w:val="000000"/>
                <w:kern w:val="0"/>
                <w:szCs w:val="24"/>
              </w:rPr>
              <w:t>3</w:t>
            </w:r>
            <w:r>
              <w:rPr>
                <w:rFonts w:hint="eastAsia" w:ascii="宋体" w:hAnsi="宋体" w:cs="宋体"/>
                <w:color w:val="000000"/>
                <w:kern w:val="0"/>
                <w:szCs w:val="24"/>
              </w:rPr>
              <w:t>号闸（进水闸）</w:t>
            </w:r>
          </w:p>
        </w:tc>
        <w:tc>
          <w:tcPr>
            <w:tcW w:w="1321"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流花湖与驷马涌交汇处（人民北路）</w:t>
            </w:r>
          </w:p>
        </w:tc>
        <w:tc>
          <w:tcPr>
            <w:tcW w:w="82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4.6</w:t>
            </w:r>
            <w:r>
              <w:rPr>
                <w:rFonts w:hint="eastAsia" w:ascii="宋体" w:hAnsi="宋体"/>
                <w:color w:val="000000"/>
                <w:kern w:val="0"/>
                <w:szCs w:val="24"/>
              </w:rPr>
              <w:t>×</w:t>
            </w:r>
            <w:r>
              <w:rPr>
                <w:rFonts w:eastAsia="等线"/>
                <w:color w:val="000000"/>
                <w:kern w:val="0"/>
                <w:szCs w:val="24"/>
              </w:rPr>
              <w:t>2</w:t>
            </w:r>
          </w:p>
        </w:tc>
        <w:tc>
          <w:tcPr>
            <w:tcW w:w="3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1987</w:t>
            </w:r>
          </w:p>
        </w:tc>
        <w:tc>
          <w:tcPr>
            <w:tcW w:w="473"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　</w:t>
            </w:r>
          </w:p>
        </w:tc>
        <w:tc>
          <w:tcPr>
            <w:tcW w:w="751"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排涝</w:t>
            </w:r>
          </w:p>
        </w:tc>
      </w:tr>
    </w:tbl>
    <w:p>
      <w:pPr>
        <w:ind w:firstLine="560"/>
        <w:rPr>
          <w:sz w:val="28"/>
        </w:rPr>
      </w:pPr>
    </w:p>
    <w:p>
      <w:pPr>
        <w:pStyle w:val="21"/>
        <w:rPr>
          <w:sz w:val="28"/>
        </w:rPr>
      </w:pPr>
    </w:p>
    <w:p>
      <w:pPr>
        <w:pStyle w:val="21"/>
        <w:rPr>
          <w:sz w:val="28"/>
        </w:rPr>
      </w:pPr>
      <w:r>
        <w:rPr>
          <w:rFonts w:hint="eastAsia"/>
          <w:sz w:val="28"/>
        </w:rPr>
        <w:t>表</w:t>
      </w:r>
      <w:r>
        <w:rPr>
          <w:sz w:val="28"/>
        </w:rPr>
        <w:t>3</w:t>
      </w:r>
      <w:r>
        <w:rPr>
          <w:rFonts w:hint="eastAsia"/>
          <w:sz w:val="28"/>
        </w:rPr>
        <w:t>-2 越秀区划定泵站</w:t>
      </w:r>
      <w:r>
        <w:rPr>
          <w:sz w:val="28"/>
        </w:rPr>
        <w:t>工程</w:t>
      </w:r>
      <w:r>
        <w:rPr>
          <w:rFonts w:hint="eastAsia"/>
          <w:sz w:val="28"/>
        </w:rPr>
        <w:t>基本</w:t>
      </w:r>
      <w:r>
        <w:rPr>
          <w:sz w:val="28"/>
        </w:rPr>
        <w:t>参数表</w:t>
      </w:r>
    </w:p>
    <w:tbl>
      <w:tblPr>
        <w:tblStyle w:val="12"/>
        <w:tblW w:w="5000" w:type="pct"/>
        <w:tblInd w:w="0" w:type="dxa"/>
        <w:tblLayout w:type="autofit"/>
        <w:tblCellMar>
          <w:top w:w="0" w:type="dxa"/>
          <w:left w:w="108" w:type="dxa"/>
          <w:bottom w:w="0" w:type="dxa"/>
          <w:right w:w="108" w:type="dxa"/>
        </w:tblCellMar>
      </w:tblPr>
      <w:tblGrid>
        <w:gridCol w:w="1290"/>
        <w:gridCol w:w="2767"/>
        <w:gridCol w:w="2481"/>
        <w:gridCol w:w="2481"/>
        <w:gridCol w:w="1290"/>
        <w:gridCol w:w="2577"/>
        <w:gridCol w:w="1290"/>
      </w:tblGrid>
      <w:tr>
        <w:tblPrEx>
          <w:tblCellMar>
            <w:top w:w="0" w:type="dxa"/>
            <w:left w:w="108" w:type="dxa"/>
            <w:bottom w:w="0" w:type="dxa"/>
            <w:right w:w="108" w:type="dxa"/>
          </w:tblCellMar>
        </w:tblPrEx>
        <w:trPr>
          <w:trHeight w:val="285" w:hRule="atLeast"/>
          <w:tblHeader/>
        </w:trPr>
        <w:tc>
          <w:tcPr>
            <w:tcW w:w="455" w:type="pct"/>
            <w:vMerge w:val="restart"/>
            <w:tcBorders>
              <w:top w:val="double" w:color="auto" w:sz="4" w:space="0"/>
              <w:left w:val="double" w:color="auto" w:sz="4" w:space="0"/>
              <w:bottom w:val="single" w:color="auto" w:sz="4" w:space="0"/>
              <w:right w:val="single" w:color="auto" w:sz="4" w:space="0"/>
            </w:tcBorders>
            <w:shd w:val="clear" w:color="auto" w:fill="auto"/>
            <w:noWrap/>
            <w:vAlign w:val="center"/>
          </w:tcPr>
          <w:p>
            <w:pPr>
              <w:pStyle w:val="19"/>
              <w:rPr>
                <w:b/>
                <w:sz w:val="24"/>
                <w:szCs w:val="24"/>
              </w:rPr>
            </w:pPr>
            <w:r>
              <w:rPr>
                <w:rFonts w:hint="eastAsia"/>
                <w:b/>
                <w:sz w:val="24"/>
                <w:szCs w:val="24"/>
              </w:rPr>
              <w:t>序号</w:t>
            </w:r>
          </w:p>
        </w:tc>
        <w:tc>
          <w:tcPr>
            <w:tcW w:w="976" w:type="pct"/>
            <w:vMerge w:val="restart"/>
            <w:tcBorders>
              <w:top w:val="double" w:color="auto" w:sz="4" w:space="0"/>
              <w:left w:val="single" w:color="auto" w:sz="4" w:space="0"/>
              <w:bottom w:val="single" w:color="auto" w:sz="4" w:space="0"/>
              <w:right w:val="single" w:color="auto" w:sz="4" w:space="0"/>
            </w:tcBorders>
            <w:shd w:val="clear" w:color="auto" w:fill="auto"/>
            <w:noWrap/>
            <w:vAlign w:val="center"/>
          </w:tcPr>
          <w:p>
            <w:pPr>
              <w:pStyle w:val="19"/>
              <w:rPr>
                <w:b/>
                <w:sz w:val="24"/>
                <w:szCs w:val="24"/>
              </w:rPr>
            </w:pPr>
            <w:r>
              <w:rPr>
                <w:rFonts w:hint="eastAsia"/>
                <w:b/>
                <w:sz w:val="24"/>
                <w:szCs w:val="24"/>
              </w:rPr>
              <w:t>泵站名称</w:t>
            </w:r>
          </w:p>
        </w:tc>
        <w:tc>
          <w:tcPr>
            <w:tcW w:w="875" w:type="pct"/>
            <w:vMerge w:val="restart"/>
            <w:tcBorders>
              <w:top w:val="double" w:color="auto" w:sz="4" w:space="0"/>
              <w:left w:val="single" w:color="auto" w:sz="4" w:space="0"/>
              <w:bottom w:val="single" w:color="auto" w:sz="4" w:space="0"/>
              <w:right w:val="single" w:color="auto" w:sz="4" w:space="0"/>
            </w:tcBorders>
            <w:shd w:val="clear" w:color="auto" w:fill="auto"/>
            <w:noWrap/>
            <w:vAlign w:val="center"/>
          </w:tcPr>
          <w:p>
            <w:pPr>
              <w:pStyle w:val="19"/>
              <w:rPr>
                <w:b/>
                <w:sz w:val="24"/>
                <w:szCs w:val="24"/>
              </w:rPr>
            </w:pPr>
            <w:r>
              <w:rPr>
                <w:rFonts w:hint="eastAsia"/>
                <w:b/>
                <w:sz w:val="24"/>
                <w:szCs w:val="24"/>
              </w:rPr>
              <w:t>泵站位置</w:t>
            </w:r>
          </w:p>
        </w:tc>
        <w:tc>
          <w:tcPr>
            <w:tcW w:w="875" w:type="pct"/>
            <w:vMerge w:val="restart"/>
            <w:tcBorders>
              <w:top w:val="double" w:color="auto" w:sz="4" w:space="0"/>
              <w:left w:val="single" w:color="auto" w:sz="4" w:space="0"/>
              <w:bottom w:val="single" w:color="auto" w:sz="4" w:space="0"/>
              <w:right w:val="single" w:color="auto" w:sz="4" w:space="0"/>
            </w:tcBorders>
            <w:shd w:val="clear" w:color="auto" w:fill="auto"/>
            <w:noWrap/>
            <w:vAlign w:val="center"/>
          </w:tcPr>
          <w:p>
            <w:pPr>
              <w:pStyle w:val="19"/>
              <w:rPr>
                <w:b/>
                <w:sz w:val="24"/>
                <w:szCs w:val="24"/>
              </w:rPr>
            </w:pPr>
            <w:r>
              <w:rPr>
                <w:rFonts w:hint="eastAsia"/>
                <w:b/>
                <w:sz w:val="24"/>
                <w:szCs w:val="24"/>
              </w:rPr>
              <w:t>泵站功能</w:t>
            </w:r>
          </w:p>
        </w:tc>
        <w:tc>
          <w:tcPr>
            <w:tcW w:w="455" w:type="pct"/>
            <w:vMerge w:val="restart"/>
            <w:tcBorders>
              <w:top w:val="double" w:color="auto" w:sz="4" w:space="0"/>
              <w:left w:val="single" w:color="auto" w:sz="4" w:space="0"/>
              <w:bottom w:val="single" w:color="auto" w:sz="4" w:space="0"/>
              <w:right w:val="single" w:color="auto" w:sz="4" w:space="0"/>
            </w:tcBorders>
            <w:shd w:val="clear" w:color="auto" w:fill="auto"/>
            <w:noWrap/>
            <w:vAlign w:val="center"/>
          </w:tcPr>
          <w:p>
            <w:pPr>
              <w:pStyle w:val="19"/>
              <w:rPr>
                <w:b/>
                <w:sz w:val="24"/>
                <w:szCs w:val="24"/>
              </w:rPr>
            </w:pPr>
            <w:r>
              <w:rPr>
                <w:rFonts w:hint="eastAsia"/>
                <w:b/>
                <w:sz w:val="24"/>
                <w:szCs w:val="24"/>
              </w:rPr>
              <w:t>泵站台数</w:t>
            </w:r>
          </w:p>
        </w:tc>
        <w:tc>
          <w:tcPr>
            <w:tcW w:w="1364" w:type="pct"/>
            <w:gridSpan w:val="2"/>
            <w:tcBorders>
              <w:top w:val="double" w:color="auto" w:sz="4" w:space="0"/>
              <w:left w:val="nil"/>
              <w:bottom w:val="single" w:color="auto" w:sz="4" w:space="0"/>
              <w:right w:val="double" w:color="auto" w:sz="4" w:space="0"/>
            </w:tcBorders>
            <w:shd w:val="clear" w:color="auto" w:fill="auto"/>
            <w:noWrap/>
            <w:vAlign w:val="center"/>
          </w:tcPr>
          <w:p>
            <w:pPr>
              <w:pStyle w:val="19"/>
              <w:rPr>
                <w:b/>
                <w:sz w:val="24"/>
                <w:szCs w:val="24"/>
              </w:rPr>
            </w:pPr>
            <w:r>
              <w:rPr>
                <w:rFonts w:hint="eastAsia"/>
                <w:b/>
                <w:sz w:val="24"/>
                <w:szCs w:val="24"/>
              </w:rPr>
              <w:t>泵站规模</w:t>
            </w:r>
          </w:p>
        </w:tc>
      </w:tr>
      <w:tr>
        <w:tblPrEx>
          <w:tblCellMar>
            <w:top w:w="0" w:type="dxa"/>
            <w:left w:w="108" w:type="dxa"/>
            <w:bottom w:w="0" w:type="dxa"/>
            <w:right w:w="108" w:type="dxa"/>
          </w:tblCellMar>
        </w:tblPrEx>
        <w:trPr>
          <w:trHeight w:val="540" w:hRule="atLeast"/>
          <w:tblHeader/>
        </w:trPr>
        <w:tc>
          <w:tcPr>
            <w:tcW w:w="455" w:type="pct"/>
            <w:vMerge w:val="continue"/>
            <w:tcBorders>
              <w:top w:val="single" w:color="auto" w:sz="4" w:space="0"/>
              <w:left w:val="double" w:color="auto" w:sz="4" w:space="0"/>
              <w:bottom w:val="single" w:color="auto" w:sz="4" w:space="0"/>
              <w:right w:val="single" w:color="auto" w:sz="4" w:space="0"/>
            </w:tcBorders>
            <w:vAlign w:val="center"/>
          </w:tcPr>
          <w:p>
            <w:pPr>
              <w:pStyle w:val="19"/>
              <w:rPr>
                <w:b/>
                <w:sz w:val="24"/>
                <w:szCs w:val="24"/>
              </w:rPr>
            </w:pPr>
          </w:p>
        </w:tc>
        <w:tc>
          <w:tcPr>
            <w:tcW w:w="976" w:type="pct"/>
            <w:vMerge w:val="continue"/>
            <w:tcBorders>
              <w:top w:val="single" w:color="auto" w:sz="4" w:space="0"/>
              <w:left w:val="single" w:color="auto" w:sz="4" w:space="0"/>
              <w:bottom w:val="single" w:color="auto" w:sz="4" w:space="0"/>
              <w:right w:val="single" w:color="auto" w:sz="4" w:space="0"/>
            </w:tcBorders>
            <w:vAlign w:val="center"/>
          </w:tcPr>
          <w:p>
            <w:pPr>
              <w:pStyle w:val="19"/>
              <w:rPr>
                <w:b/>
                <w:sz w:val="24"/>
                <w:szCs w:val="24"/>
              </w:rPr>
            </w:pPr>
          </w:p>
        </w:tc>
        <w:tc>
          <w:tcPr>
            <w:tcW w:w="875" w:type="pct"/>
            <w:vMerge w:val="continue"/>
            <w:tcBorders>
              <w:top w:val="single" w:color="auto" w:sz="4" w:space="0"/>
              <w:left w:val="single" w:color="auto" w:sz="4" w:space="0"/>
              <w:bottom w:val="single" w:color="auto" w:sz="4" w:space="0"/>
              <w:right w:val="single" w:color="auto" w:sz="4" w:space="0"/>
            </w:tcBorders>
            <w:vAlign w:val="center"/>
          </w:tcPr>
          <w:p>
            <w:pPr>
              <w:pStyle w:val="19"/>
              <w:rPr>
                <w:b/>
                <w:sz w:val="24"/>
                <w:szCs w:val="24"/>
              </w:rPr>
            </w:pPr>
          </w:p>
        </w:tc>
        <w:tc>
          <w:tcPr>
            <w:tcW w:w="875" w:type="pct"/>
            <w:vMerge w:val="continue"/>
            <w:tcBorders>
              <w:top w:val="single" w:color="auto" w:sz="4" w:space="0"/>
              <w:left w:val="single" w:color="auto" w:sz="4" w:space="0"/>
              <w:bottom w:val="single" w:color="auto" w:sz="4" w:space="0"/>
              <w:right w:val="single" w:color="auto" w:sz="4" w:space="0"/>
            </w:tcBorders>
            <w:vAlign w:val="center"/>
          </w:tcPr>
          <w:p>
            <w:pPr>
              <w:pStyle w:val="19"/>
              <w:rPr>
                <w:b/>
                <w:sz w:val="24"/>
                <w:szCs w:val="24"/>
              </w:rPr>
            </w:pPr>
          </w:p>
        </w:tc>
        <w:tc>
          <w:tcPr>
            <w:tcW w:w="455" w:type="pct"/>
            <w:vMerge w:val="continue"/>
            <w:tcBorders>
              <w:top w:val="single" w:color="auto" w:sz="4" w:space="0"/>
              <w:left w:val="single" w:color="auto" w:sz="4" w:space="0"/>
              <w:bottom w:val="single" w:color="auto" w:sz="4" w:space="0"/>
              <w:right w:val="single" w:color="auto" w:sz="4" w:space="0"/>
            </w:tcBorders>
            <w:vAlign w:val="center"/>
          </w:tcPr>
          <w:p>
            <w:pPr>
              <w:pStyle w:val="19"/>
              <w:rPr>
                <w:b/>
                <w:sz w:val="24"/>
                <w:szCs w:val="24"/>
              </w:rPr>
            </w:pPr>
          </w:p>
        </w:tc>
        <w:tc>
          <w:tcPr>
            <w:tcW w:w="909" w:type="pct"/>
            <w:tcBorders>
              <w:top w:val="nil"/>
              <w:left w:val="nil"/>
              <w:bottom w:val="single" w:color="auto" w:sz="4" w:space="0"/>
              <w:right w:val="single" w:color="auto" w:sz="4" w:space="0"/>
            </w:tcBorders>
            <w:shd w:val="clear" w:color="auto" w:fill="auto"/>
            <w:vAlign w:val="center"/>
          </w:tcPr>
          <w:p>
            <w:pPr>
              <w:pStyle w:val="19"/>
              <w:rPr>
                <w:b/>
                <w:sz w:val="24"/>
                <w:szCs w:val="24"/>
              </w:rPr>
            </w:pPr>
            <w:r>
              <w:rPr>
                <w:rFonts w:hint="eastAsia"/>
                <w:b/>
                <w:sz w:val="24"/>
                <w:szCs w:val="24"/>
              </w:rPr>
              <w:t>泵站装机总</w:t>
            </w:r>
          </w:p>
        </w:tc>
        <w:tc>
          <w:tcPr>
            <w:tcW w:w="455" w:type="pct"/>
            <w:tcBorders>
              <w:top w:val="nil"/>
              <w:left w:val="nil"/>
              <w:bottom w:val="single" w:color="auto" w:sz="4" w:space="0"/>
              <w:right w:val="double" w:color="auto" w:sz="4" w:space="0"/>
            </w:tcBorders>
            <w:shd w:val="clear" w:color="auto" w:fill="auto"/>
            <w:vAlign w:val="center"/>
          </w:tcPr>
          <w:p>
            <w:pPr>
              <w:pStyle w:val="19"/>
              <w:rPr>
                <w:b/>
                <w:sz w:val="24"/>
                <w:szCs w:val="24"/>
              </w:rPr>
            </w:pPr>
            <w:r>
              <w:rPr>
                <w:rFonts w:hint="eastAsia"/>
                <w:b/>
                <w:sz w:val="24"/>
                <w:szCs w:val="24"/>
              </w:rPr>
              <w:t>总流量</w:t>
            </w:r>
          </w:p>
        </w:tc>
      </w:tr>
      <w:tr>
        <w:tblPrEx>
          <w:tblCellMar>
            <w:top w:w="0" w:type="dxa"/>
            <w:left w:w="108" w:type="dxa"/>
            <w:bottom w:w="0" w:type="dxa"/>
            <w:right w:w="108" w:type="dxa"/>
          </w:tblCellMar>
        </w:tblPrEx>
        <w:trPr>
          <w:trHeight w:val="540" w:hRule="atLeast"/>
        </w:trPr>
        <w:tc>
          <w:tcPr>
            <w:tcW w:w="455" w:type="pct"/>
            <w:vMerge w:val="continue"/>
            <w:tcBorders>
              <w:top w:val="single" w:color="auto" w:sz="4" w:space="0"/>
              <w:left w:val="double" w:color="auto" w:sz="4" w:space="0"/>
              <w:bottom w:val="single" w:color="auto" w:sz="4" w:space="0"/>
              <w:right w:val="single" w:color="auto" w:sz="4" w:space="0"/>
            </w:tcBorders>
            <w:vAlign w:val="center"/>
          </w:tcPr>
          <w:p>
            <w:pPr>
              <w:pStyle w:val="19"/>
              <w:rPr>
                <w:b/>
                <w:sz w:val="24"/>
                <w:szCs w:val="24"/>
              </w:rPr>
            </w:pPr>
          </w:p>
        </w:tc>
        <w:tc>
          <w:tcPr>
            <w:tcW w:w="976" w:type="pct"/>
            <w:vMerge w:val="continue"/>
            <w:tcBorders>
              <w:top w:val="single" w:color="auto" w:sz="4" w:space="0"/>
              <w:left w:val="single" w:color="auto" w:sz="4" w:space="0"/>
              <w:bottom w:val="single" w:color="auto" w:sz="4" w:space="0"/>
              <w:right w:val="single" w:color="auto" w:sz="4" w:space="0"/>
            </w:tcBorders>
            <w:vAlign w:val="center"/>
          </w:tcPr>
          <w:p>
            <w:pPr>
              <w:pStyle w:val="19"/>
              <w:rPr>
                <w:b/>
                <w:sz w:val="24"/>
                <w:szCs w:val="24"/>
              </w:rPr>
            </w:pPr>
          </w:p>
        </w:tc>
        <w:tc>
          <w:tcPr>
            <w:tcW w:w="875" w:type="pct"/>
            <w:vMerge w:val="continue"/>
            <w:tcBorders>
              <w:top w:val="single" w:color="auto" w:sz="4" w:space="0"/>
              <w:left w:val="single" w:color="auto" w:sz="4" w:space="0"/>
              <w:bottom w:val="single" w:color="auto" w:sz="4" w:space="0"/>
              <w:right w:val="single" w:color="auto" w:sz="4" w:space="0"/>
            </w:tcBorders>
            <w:vAlign w:val="center"/>
          </w:tcPr>
          <w:p>
            <w:pPr>
              <w:pStyle w:val="19"/>
              <w:rPr>
                <w:b/>
                <w:sz w:val="24"/>
                <w:szCs w:val="24"/>
              </w:rPr>
            </w:pPr>
          </w:p>
        </w:tc>
        <w:tc>
          <w:tcPr>
            <w:tcW w:w="875" w:type="pct"/>
            <w:vMerge w:val="continue"/>
            <w:tcBorders>
              <w:top w:val="single" w:color="auto" w:sz="4" w:space="0"/>
              <w:left w:val="single" w:color="auto" w:sz="4" w:space="0"/>
              <w:bottom w:val="single" w:color="auto" w:sz="4" w:space="0"/>
              <w:right w:val="single" w:color="auto" w:sz="4" w:space="0"/>
            </w:tcBorders>
            <w:vAlign w:val="center"/>
          </w:tcPr>
          <w:p>
            <w:pPr>
              <w:pStyle w:val="19"/>
              <w:rPr>
                <w:b/>
                <w:sz w:val="24"/>
                <w:szCs w:val="24"/>
              </w:rPr>
            </w:pPr>
          </w:p>
        </w:tc>
        <w:tc>
          <w:tcPr>
            <w:tcW w:w="455" w:type="pct"/>
            <w:vMerge w:val="continue"/>
            <w:tcBorders>
              <w:top w:val="single" w:color="auto" w:sz="4" w:space="0"/>
              <w:left w:val="single" w:color="auto" w:sz="4" w:space="0"/>
              <w:bottom w:val="single" w:color="auto" w:sz="4" w:space="0"/>
              <w:right w:val="single" w:color="auto" w:sz="4" w:space="0"/>
            </w:tcBorders>
            <w:vAlign w:val="center"/>
          </w:tcPr>
          <w:p>
            <w:pPr>
              <w:pStyle w:val="19"/>
              <w:rPr>
                <w:b/>
                <w:sz w:val="24"/>
                <w:szCs w:val="24"/>
              </w:rPr>
            </w:pPr>
          </w:p>
        </w:tc>
        <w:tc>
          <w:tcPr>
            <w:tcW w:w="909" w:type="pct"/>
            <w:tcBorders>
              <w:top w:val="nil"/>
              <w:left w:val="nil"/>
              <w:bottom w:val="single" w:color="auto" w:sz="4" w:space="0"/>
              <w:right w:val="single" w:color="auto" w:sz="4" w:space="0"/>
            </w:tcBorders>
            <w:shd w:val="clear" w:color="auto" w:fill="auto"/>
            <w:vAlign w:val="center"/>
          </w:tcPr>
          <w:p>
            <w:pPr>
              <w:pStyle w:val="19"/>
              <w:rPr>
                <w:b/>
                <w:sz w:val="24"/>
                <w:szCs w:val="24"/>
              </w:rPr>
            </w:pPr>
            <w:r>
              <w:rPr>
                <w:rFonts w:hint="eastAsia"/>
                <w:b/>
                <w:sz w:val="24"/>
                <w:szCs w:val="24"/>
              </w:rPr>
              <w:t>功率（kw）</w:t>
            </w:r>
          </w:p>
        </w:tc>
        <w:tc>
          <w:tcPr>
            <w:tcW w:w="455" w:type="pct"/>
            <w:tcBorders>
              <w:top w:val="nil"/>
              <w:left w:val="nil"/>
              <w:bottom w:val="single" w:color="auto" w:sz="4" w:space="0"/>
              <w:right w:val="double" w:color="auto" w:sz="4" w:space="0"/>
            </w:tcBorders>
            <w:shd w:val="clear" w:color="auto" w:fill="auto"/>
            <w:vAlign w:val="center"/>
          </w:tcPr>
          <w:p>
            <w:pPr>
              <w:pStyle w:val="19"/>
              <w:rPr>
                <w:b/>
                <w:sz w:val="24"/>
                <w:szCs w:val="24"/>
              </w:rPr>
            </w:pPr>
            <w:r>
              <w:rPr>
                <w:rFonts w:hint="eastAsia"/>
                <w:b/>
                <w:sz w:val="24"/>
                <w:szCs w:val="24"/>
              </w:rPr>
              <w:t>（m</w:t>
            </w:r>
            <w:r>
              <w:rPr>
                <w:rFonts w:hint="eastAsia"/>
                <w:b/>
                <w:sz w:val="24"/>
                <w:szCs w:val="24"/>
                <w:vertAlign w:val="superscript"/>
              </w:rPr>
              <w:t>3</w:t>
            </w:r>
            <w:r>
              <w:rPr>
                <w:rFonts w:hint="eastAsia"/>
                <w:b/>
                <w:sz w:val="24"/>
                <w:szCs w:val="24"/>
              </w:rPr>
              <w:t>/s）</w:t>
            </w:r>
          </w:p>
        </w:tc>
      </w:tr>
      <w:tr>
        <w:tblPrEx>
          <w:tblCellMar>
            <w:top w:w="0" w:type="dxa"/>
            <w:left w:w="108" w:type="dxa"/>
            <w:bottom w:w="0" w:type="dxa"/>
            <w:right w:w="108" w:type="dxa"/>
          </w:tblCellMar>
        </w:tblPrEx>
        <w:trPr>
          <w:trHeight w:val="285" w:hRule="atLeast"/>
        </w:trPr>
        <w:tc>
          <w:tcPr>
            <w:tcW w:w="455" w:type="pct"/>
            <w:tcBorders>
              <w:top w:val="nil"/>
              <w:left w:val="double" w:color="auto" w:sz="4" w:space="0"/>
              <w:bottom w:val="single" w:color="auto" w:sz="4" w:space="0"/>
              <w:right w:val="single" w:color="auto" w:sz="4" w:space="0"/>
            </w:tcBorders>
            <w:shd w:val="clear" w:color="auto" w:fill="auto"/>
            <w:noWrap/>
            <w:vAlign w:val="center"/>
          </w:tcPr>
          <w:p>
            <w:pPr>
              <w:pStyle w:val="19"/>
              <w:rPr>
                <w:sz w:val="24"/>
                <w:szCs w:val="24"/>
              </w:rPr>
            </w:pPr>
            <w:r>
              <w:rPr>
                <w:rFonts w:hint="eastAsia"/>
                <w:sz w:val="24"/>
                <w:szCs w:val="24"/>
              </w:rPr>
              <w:t>1</w:t>
            </w:r>
          </w:p>
        </w:tc>
        <w:tc>
          <w:tcPr>
            <w:tcW w:w="976"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东山湖5号泵站</w:t>
            </w:r>
          </w:p>
        </w:tc>
        <w:tc>
          <w:tcPr>
            <w:tcW w:w="875"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东山湖省委北门</w:t>
            </w:r>
          </w:p>
        </w:tc>
        <w:tc>
          <w:tcPr>
            <w:tcW w:w="875"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补水</w:t>
            </w:r>
          </w:p>
        </w:tc>
        <w:tc>
          <w:tcPr>
            <w:tcW w:w="455"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2</w:t>
            </w:r>
          </w:p>
        </w:tc>
        <w:tc>
          <w:tcPr>
            <w:tcW w:w="909"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260</w:t>
            </w:r>
          </w:p>
        </w:tc>
        <w:tc>
          <w:tcPr>
            <w:tcW w:w="455" w:type="pct"/>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4</w:t>
            </w:r>
          </w:p>
        </w:tc>
      </w:tr>
      <w:tr>
        <w:tblPrEx>
          <w:tblCellMar>
            <w:top w:w="0" w:type="dxa"/>
            <w:left w:w="108" w:type="dxa"/>
            <w:bottom w:w="0" w:type="dxa"/>
            <w:right w:w="108" w:type="dxa"/>
          </w:tblCellMar>
        </w:tblPrEx>
        <w:trPr>
          <w:trHeight w:val="540" w:hRule="atLeast"/>
        </w:trPr>
        <w:tc>
          <w:tcPr>
            <w:tcW w:w="455" w:type="pct"/>
            <w:tcBorders>
              <w:top w:val="nil"/>
              <w:left w:val="double" w:color="auto" w:sz="4" w:space="0"/>
              <w:bottom w:val="single" w:color="auto" w:sz="4" w:space="0"/>
              <w:right w:val="single" w:color="auto" w:sz="4" w:space="0"/>
            </w:tcBorders>
            <w:shd w:val="clear" w:color="auto" w:fill="auto"/>
            <w:noWrap/>
            <w:vAlign w:val="center"/>
          </w:tcPr>
          <w:p>
            <w:pPr>
              <w:pStyle w:val="19"/>
              <w:rPr>
                <w:sz w:val="24"/>
                <w:szCs w:val="24"/>
              </w:rPr>
            </w:pPr>
            <w:r>
              <w:rPr>
                <w:rFonts w:hint="eastAsia"/>
                <w:sz w:val="24"/>
                <w:szCs w:val="24"/>
              </w:rPr>
              <w:t>2</w:t>
            </w:r>
          </w:p>
        </w:tc>
        <w:tc>
          <w:tcPr>
            <w:tcW w:w="976"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东濠涌补水泵站（江湾补水泵站）</w:t>
            </w:r>
          </w:p>
        </w:tc>
        <w:tc>
          <w:tcPr>
            <w:tcW w:w="875"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东濠涌江湾出水口</w:t>
            </w:r>
          </w:p>
        </w:tc>
        <w:tc>
          <w:tcPr>
            <w:tcW w:w="875"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补水</w:t>
            </w:r>
          </w:p>
        </w:tc>
        <w:tc>
          <w:tcPr>
            <w:tcW w:w="455"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2</w:t>
            </w:r>
          </w:p>
        </w:tc>
        <w:tc>
          <w:tcPr>
            <w:tcW w:w="909"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320</w:t>
            </w:r>
          </w:p>
        </w:tc>
        <w:tc>
          <w:tcPr>
            <w:tcW w:w="455" w:type="pct"/>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1.5</w:t>
            </w:r>
          </w:p>
        </w:tc>
      </w:tr>
      <w:tr>
        <w:tblPrEx>
          <w:tblCellMar>
            <w:top w:w="0" w:type="dxa"/>
            <w:left w:w="108" w:type="dxa"/>
            <w:bottom w:w="0" w:type="dxa"/>
            <w:right w:w="108" w:type="dxa"/>
          </w:tblCellMar>
        </w:tblPrEx>
        <w:trPr>
          <w:trHeight w:val="285" w:hRule="atLeast"/>
        </w:trPr>
        <w:tc>
          <w:tcPr>
            <w:tcW w:w="455" w:type="pct"/>
            <w:tcBorders>
              <w:top w:val="nil"/>
              <w:left w:val="double" w:color="auto" w:sz="4" w:space="0"/>
              <w:bottom w:val="single" w:color="auto" w:sz="4" w:space="0"/>
              <w:right w:val="single" w:color="auto" w:sz="4" w:space="0"/>
            </w:tcBorders>
            <w:shd w:val="clear" w:color="auto" w:fill="auto"/>
            <w:noWrap/>
            <w:vAlign w:val="center"/>
          </w:tcPr>
          <w:p>
            <w:pPr>
              <w:pStyle w:val="19"/>
              <w:rPr>
                <w:sz w:val="24"/>
                <w:szCs w:val="24"/>
              </w:rPr>
            </w:pPr>
            <w:r>
              <w:rPr>
                <w:rFonts w:hint="eastAsia"/>
                <w:sz w:val="24"/>
                <w:szCs w:val="24"/>
              </w:rPr>
              <w:t>3</w:t>
            </w:r>
          </w:p>
        </w:tc>
        <w:tc>
          <w:tcPr>
            <w:tcW w:w="976"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东濠涌泵站雨水泵</w:t>
            </w:r>
          </w:p>
        </w:tc>
        <w:tc>
          <w:tcPr>
            <w:tcW w:w="875" w:type="pct"/>
            <w:vMerge w:val="restart"/>
            <w:tcBorders>
              <w:top w:val="nil"/>
              <w:left w:val="single" w:color="auto" w:sz="4" w:space="0"/>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东濠涌涌口、防潮闸处</w:t>
            </w:r>
          </w:p>
        </w:tc>
        <w:tc>
          <w:tcPr>
            <w:tcW w:w="875"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排涝</w:t>
            </w:r>
          </w:p>
        </w:tc>
        <w:tc>
          <w:tcPr>
            <w:tcW w:w="455"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8</w:t>
            </w:r>
          </w:p>
        </w:tc>
        <w:tc>
          <w:tcPr>
            <w:tcW w:w="909"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3200</w:t>
            </w:r>
          </w:p>
        </w:tc>
        <w:tc>
          <w:tcPr>
            <w:tcW w:w="455" w:type="pct"/>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52</w:t>
            </w:r>
          </w:p>
        </w:tc>
      </w:tr>
      <w:tr>
        <w:tblPrEx>
          <w:tblCellMar>
            <w:top w:w="0" w:type="dxa"/>
            <w:left w:w="108" w:type="dxa"/>
            <w:bottom w:w="0" w:type="dxa"/>
            <w:right w:w="108" w:type="dxa"/>
          </w:tblCellMar>
        </w:tblPrEx>
        <w:trPr>
          <w:trHeight w:val="285" w:hRule="atLeast"/>
        </w:trPr>
        <w:tc>
          <w:tcPr>
            <w:tcW w:w="455" w:type="pct"/>
            <w:tcBorders>
              <w:top w:val="nil"/>
              <w:left w:val="double" w:color="auto" w:sz="4" w:space="0"/>
              <w:bottom w:val="single" w:color="auto" w:sz="4" w:space="0"/>
              <w:right w:val="single" w:color="auto" w:sz="4" w:space="0"/>
            </w:tcBorders>
            <w:shd w:val="clear" w:color="auto" w:fill="auto"/>
            <w:noWrap/>
            <w:vAlign w:val="center"/>
          </w:tcPr>
          <w:p>
            <w:pPr>
              <w:pStyle w:val="19"/>
              <w:rPr>
                <w:sz w:val="24"/>
                <w:szCs w:val="24"/>
              </w:rPr>
            </w:pPr>
            <w:r>
              <w:rPr>
                <w:rFonts w:hint="eastAsia"/>
                <w:sz w:val="24"/>
                <w:szCs w:val="24"/>
              </w:rPr>
              <w:t>4</w:t>
            </w:r>
          </w:p>
        </w:tc>
        <w:tc>
          <w:tcPr>
            <w:tcW w:w="976"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东濠涌泵站污水泵</w:t>
            </w:r>
          </w:p>
        </w:tc>
        <w:tc>
          <w:tcPr>
            <w:tcW w:w="875" w:type="pct"/>
            <w:vMerge w:val="continue"/>
            <w:tcBorders>
              <w:top w:val="nil"/>
              <w:left w:val="single" w:color="auto" w:sz="4" w:space="0"/>
              <w:bottom w:val="single" w:color="auto" w:sz="4" w:space="0"/>
              <w:right w:val="single" w:color="auto" w:sz="4" w:space="0"/>
            </w:tcBorders>
            <w:vAlign w:val="center"/>
          </w:tcPr>
          <w:p>
            <w:pPr>
              <w:pStyle w:val="19"/>
              <w:rPr>
                <w:sz w:val="24"/>
                <w:szCs w:val="24"/>
              </w:rPr>
            </w:pPr>
          </w:p>
        </w:tc>
        <w:tc>
          <w:tcPr>
            <w:tcW w:w="875"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污水</w:t>
            </w:r>
          </w:p>
        </w:tc>
        <w:tc>
          <w:tcPr>
            <w:tcW w:w="455"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6</w:t>
            </w:r>
          </w:p>
        </w:tc>
        <w:tc>
          <w:tcPr>
            <w:tcW w:w="909"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1320</w:t>
            </w:r>
          </w:p>
        </w:tc>
        <w:tc>
          <w:tcPr>
            <w:tcW w:w="455" w:type="pct"/>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17</w:t>
            </w:r>
          </w:p>
        </w:tc>
      </w:tr>
    </w:tbl>
    <w:p>
      <w:pPr>
        <w:ind w:firstLine="560"/>
        <w:rPr>
          <w:sz w:val="28"/>
        </w:rPr>
      </w:pPr>
    </w:p>
    <w:p>
      <w:pPr>
        <w:ind w:firstLine="562"/>
        <w:outlineLvl w:val="1"/>
        <w:rPr>
          <w:b/>
          <w:sz w:val="28"/>
        </w:rPr>
      </w:pPr>
      <w:bookmarkStart w:id="9" w:name="_Toc57638887"/>
      <w:r>
        <w:rPr>
          <w:rFonts w:hint="eastAsia"/>
          <w:b/>
          <w:sz w:val="28"/>
        </w:rPr>
        <w:t>2、堤防</w:t>
      </w:r>
      <w:r>
        <w:rPr>
          <w:b/>
          <w:sz w:val="28"/>
        </w:rPr>
        <w:t>工程</w:t>
      </w:r>
      <w:bookmarkEnd w:id="9"/>
    </w:p>
    <w:p>
      <w:pPr>
        <w:ind w:firstLine="560"/>
        <w:rPr>
          <w:sz w:val="28"/>
        </w:rPr>
      </w:pPr>
      <w:r>
        <w:rPr>
          <w:rFonts w:hint="eastAsia"/>
          <w:sz w:val="28"/>
        </w:rPr>
        <w:t>越秀区河涌、湖泊堤岸受限于城市建设，用地紧张，大多为传统的直立式挡墙，仅于景泰涌水闸外保留有斜坡式护岸。由于以前太过于注重防洪固岸，因此在一定程度上破坏了河湖的生态功能。近年来，广州河涌的整治开始注重生态环境的保护，在河涌整治中已尽可能不用或少用直立式堤岸，但在中心城区，受限于城市用地，宽敞的斜坡式护岸难以实施，多数城区河涌的整治仍以直立式为主，但已注意结合生态型堤岸进行改造，如东濠涌，在满足行洪要求的条件下，局部拓宽河道并在河道中考虑生态护脚、主河槽开挖，深浅河区划分，绿化布置等生态建设，又如水均岗支涌，在直立式挡墙上采用生态砖砌块种植水生植物，使河涌生机盎然，景观优美。其他河涌堤岸型式均较为单一。根据统计，划定范围内堤防共长23.15</w:t>
      </w:r>
      <w:r>
        <w:rPr>
          <w:sz w:val="28"/>
        </w:rPr>
        <w:t>km</w:t>
      </w:r>
      <w:r>
        <w:rPr>
          <w:rFonts w:hint="eastAsia"/>
          <w:sz w:val="28"/>
        </w:rPr>
        <w:t>。所划定范围内河涌堤防分布及堤防型式如下。</w:t>
      </w:r>
    </w:p>
    <w:p>
      <w:pPr>
        <w:pStyle w:val="21"/>
        <w:rPr>
          <w:sz w:val="28"/>
        </w:rPr>
      </w:pPr>
      <w:r>
        <w:rPr>
          <w:rFonts w:hint="eastAsia"/>
          <w:sz w:val="28"/>
        </w:rPr>
        <w:t>表3-3 越秀划定范围内各河湖现状堤防长度及型式基本情况表</w:t>
      </w:r>
    </w:p>
    <w:tbl>
      <w:tblPr>
        <w:tblStyle w:val="12"/>
        <w:tblW w:w="5000" w:type="pct"/>
        <w:tblInd w:w="0" w:type="dxa"/>
        <w:tblLayout w:type="autofit"/>
        <w:tblCellMar>
          <w:top w:w="0" w:type="dxa"/>
          <w:left w:w="108" w:type="dxa"/>
          <w:bottom w:w="0" w:type="dxa"/>
          <w:right w:w="108" w:type="dxa"/>
        </w:tblCellMar>
      </w:tblPr>
      <w:tblGrid>
        <w:gridCol w:w="1187"/>
        <w:gridCol w:w="2773"/>
        <w:gridCol w:w="4185"/>
        <w:gridCol w:w="2620"/>
        <w:gridCol w:w="3411"/>
      </w:tblGrid>
      <w:tr>
        <w:tblPrEx>
          <w:tblCellMar>
            <w:top w:w="0" w:type="dxa"/>
            <w:left w:w="108" w:type="dxa"/>
            <w:bottom w:w="0" w:type="dxa"/>
            <w:right w:w="108" w:type="dxa"/>
          </w:tblCellMar>
        </w:tblPrEx>
        <w:trPr>
          <w:trHeight w:val="315" w:hRule="atLeast"/>
          <w:tblHeader/>
        </w:trPr>
        <w:tc>
          <w:tcPr>
            <w:tcW w:w="419" w:type="pct"/>
            <w:tcBorders>
              <w:top w:val="double" w:color="auto" w:sz="6" w:space="0"/>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序号</w:t>
            </w:r>
          </w:p>
        </w:tc>
        <w:tc>
          <w:tcPr>
            <w:tcW w:w="978" w:type="pct"/>
            <w:tcBorders>
              <w:top w:val="double" w:color="auto" w:sz="6" w:space="0"/>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河湖名称</w:t>
            </w:r>
          </w:p>
        </w:tc>
        <w:tc>
          <w:tcPr>
            <w:tcW w:w="1476" w:type="pct"/>
            <w:tcBorders>
              <w:top w:val="double" w:color="auto" w:sz="6" w:space="0"/>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岸别</w:t>
            </w:r>
          </w:p>
        </w:tc>
        <w:tc>
          <w:tcPr>
            <w:tcW w:w="924" w:type="pct"/>
            <w:tcBorders>
              <w:top w:val="double" w:color="auto" w:sz="6" w:space="0"/>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长度</w:t>
            </w:r>
            <w:r>
              <w:rPr>
                <w:b/>
                <w:color w:val="000000"/>
                <w:kern w:val="0"/>
                <w:szCs w:val="24"/>
              </w:rPr>
              <w:t>(m)</w:t>
            </w:r>
          </w:p>
        </w:tc>
        <w:tc>
          <w:tcPr>
            <w:tcW w:w="1203" w:type="pct"/>
            <w:tcBorders>
              <w:top w:val="double" w:color="auto" w:sz="6" w:space="0"/>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b/>
                <w:color w:val="000000"/>
                <w:kern w:val="0"/>
                <w:szCs w:val="24"/>
              </w:rPr>
            </w:pPr>
            <w:r>
              <w:rPr>
                <w:rFonts w:hint="eastAsia" w:ascii="宋体" w:hAnsi="宋体" w:cs="宋体"/>
                <w:b/>
                <w:color w:val="000000"/>
                <w:kern w:val="0"/>
                <w:szCs w:val="24"/>
              </w:rPr>
              <w:t>主要堤防型式</w:t>
            </w:r>
          </w:p>
        </w:tc>
      </w:tr>
      <w:tr>
        <w:tblPrEx>
          <w:tblCellMar>
            <w:top w:w="0" w:type="dxa"/>
            <w:left w:w="108" w:type="dxa"/>
            <w:bottom w:w="0" w:type="dxa"/>
            <w:right w:w="108" w:type="dxa"/>
          </w:tblCellMar>
        </w:tblPrEx>
        <w:trPr>
          <w:trHeight w:val="300" w:hRule="atLeast"/>
        </w:trPr>
        <w:tc>
          <w:tcPr>
            <w:tcW w:w="419" w:type="pct"/>
            <w:vMerge w:val="restart"/>
            <w:tcBorders>
              <w:top w:val="nil"/>
              <w:left w:val="double" w:color="auto" w:sz="6" w:space="0"/>
              <w:bottom w:val="single" w:color="000000"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w:t>
            </w: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东濠涌</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左岸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3952</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堤路结合，直立式及生态型</w:t>
            </w:r>
          </w:p>
        </w:tc>
      </w:tr>
      <w:tr>
        <w:tblPrEx>
          <w:tblCellMar>
            <w:top w:w="0" w:type="dxa"/>
            <w:left w:w="108" w:type="dxa"/>
            <w:bottom w:w="0" w:type="dxa"/>
            <w:right w:w="108" w:type="dxa"/>
          </w:tblCellMar>
        </w:tblPrEx>
        <w:trPr>
          <w:trHeight w:val="300" w:hRule="atLeast"/>
        </w:trPr>
        <w:tc>
          <w:tcPr>
            <w:tcW w:w="419" w:type="pct"/>
            <w:vMerge w:val="continue"/>
            <w:tcBorders>
              <w:top w:val="nil"/>
              <w:left w:val="double" w:color="auto" w:sz="6" w:space="0"/>
              <w:bottom w:val="single" w:color="000000" w:sz="8" w:space="0"/>
              <w:right w:val="single" w:color="auto" w:sz="8" w:space="0"/>
            </w:tcBorders>
            <w:vAlign w:val="center"/>
          </w:tcPr>
          <w:p>
            <w:pPr>
              <w:widowControl/>
              <w:spacing w:line="240" w:lineRule="auto"/>
              <w:ind w:firstLine="0" w:firstLineChars="0"/>
              <w:jc w:val="left"/>
              <w:rPr>
                <w:rFonts w:eastAsia="等线"/>
                <w:color w:val="000000"/>
                <w:kern w:val="0"/>
                <w:szCs w:val="24"/>
              </w:rPr>
            </w:pP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东濠涌</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右岸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3995</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堤路结合，直立式及生态型</w:t>
            </w:r>
          </w:p>
        </w:tc>
      </w:tr>
      <w:tr>
        <w:tblPrEx>
          <w:tblCellMar>
            <w:top w:w="0" w:type="dxa"/>
            <w:left w:w="108" w:type="dxa"/>
            <w:bottom w:w="0" w:type="dxa"/>
            <w:right w:w="108" w:type="dxa"/>
          </w:tblCellMar>
        </w:tblPrEx>
        <w:trPr>
          <w:trHeight w:val="300" w:hRule="atLeast"/>
        </w:trPr>
        <w:tc>
          <w:tcPr>
            <w:tcW w:w="419" w:type="pct"/>
            <w:vMerge w:val="restart"/>
            <w:tcBorders>
              <w:top w:val="nil"/>
              <w:left w:val="double" w:color="auto" w:sz="6" w:space="0"/>
              <w:bottom w:val="single" w:color="000000"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w:t>
            </w: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新河浦涌</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左岸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2166</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w:t>
            </w:r>
          </w:p>
        </w:tc>
      </w:tr>
      <w:tr>
        <w:tblPrEx>
          <w:tblCellMar>
            <w:top w:w="0" w:type="dxa"/>
            <w:left w:w="108" w:type="dxa"/>
            <w:bottom w:w="0" w:type="dxa"/>
            <w:right w:w="108" w:type="dxa"/>
          </w:tblCellMar>
        </w:tblPrEx>
        <w:trPr>
          <w:trHeight w:val="300" w:hRule="atLeast"/>
        </w:trPr>
        <w:tc>
          <w:tcPr>
            <w:tcW w:w="419" w:type="pct"/>
            <w:vMerge w:val="continue"/>
            <w:tcBorders>
              <w:top w:val="nil"/>
              <w:left w:val="double" w:color="auto" w:sz="6" w:space="0"/>
              <w:bottom w:val="single" w:color="000000" w:sz="8" w:space="0"/>
              <w:right w:val="single" w:color="auto" w:sz="8" w:space="0"/>
            </w:tcBorders>
            <w:vAlign w:val="center"/>
          </w:tcPr>
          <w:p>
            <w:pPr>
              <w:widowControl/>
              <w:spacing w:line="240" w:lineRule="auto"/>
              <w:ind w:firstLine="0" w:firstLineChars="0"/>
              <w:jc w:val="left"/>
              <w:rPr>
                <w:rFonts w:eastAsia="等线"/>
                <w:color w:val="000000"/>
                <w:kern w:val="0"/>
                <w:szCs w:val="24"/>
              </w:rPr>
            </w:pP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新河浦涌</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右岸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2203</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w:t>
            </w:r>
          </w:p>
        </w:tc>
      </w:tr>
      <w:tr>
        <w:tblPrEx>
          <w:tblCellMar>
            <w:top w:w="0" w:type="dxa"/>
            <w:left w:w="108" w:type="dxa"/>
            <w:bottom w:w="0" w:type="dxa"/>
            <w:right w:w="108" w:type="dxa"/>
          </w:tblCellMar>
        </w:tblPrEx>
        <w:trPr>
          <w:trHeight w:val="300" w:hRule="atLeast"/>
        </w:trPr>
        <w:tc>
          <w:tcPr>
            <w:tcW w:w="419" w:type="pct"/>
            <w:vMerge w:val="restart"/>
            <w:tcBorders>
              <w:top w:val="nil"/>
              <w:left w:val="double" w:color="auto" w:sz="6" w:space="0"/>
              <w:bottom w:val="single" w:color="000000"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3</w:t>
            </w: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沙河涌越秀区段</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右岸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2963</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堤路结合，直立式，局部复式</w:t>
            </w:r>
          </w:p>
        </w:tc>
      </w:tr>
      <w:tr>
        <w:tblPrEx>
          <w:tblCellMar>
            <w:top w:w="0" w:type="dxa"/>
            <w:left w:w="108" w:type="dxa"/>
            <w:bottom w:w="0" w:type="dxa"/>
            <w:right w:w="108" w:type="dxa"/>
          </w:tblCellMar>
        </w:tblPrEx>
        <w:trPr>
          <w:trHeight w:val="300" w:hRule="atLeast"/>
        </w:trPr>
        <w:tc>
          <w:tcPr>
            <w:tcW w:w="419" w:type="pct"/>
            <w:vMerge w:val="continue"/>
            <w:tcBorders>
              <w:top w:val="nil"/>
              <w:left w:val="double" w:color="auto" w:sz="6" w:space="0"/>
              <w:bottom w:val="single" w:color="000000" w:sz="8" w:space="0"/>
              <w:right w:val="single" w:color="auto" w:sz="8" w:space="0"/>
            </w:tcBorders>
            <w:vAlign w:val="center"/>
          </w:tcPr>
          <w:p>
            <w:pPr>
              <w:widowControl/>
              <w:spacing w:line="240" w:lineRule="auto"/>
              <w:ind w:firstLine="0" w:firstLineChars="0"/>
              <w:jc w:val="left"/>
              <w:rPr>
                <w:rFonts w:eastAsia="等线"/>
                <w:color w:val="000000"/>
                <w:kern w:val="0"/>
                <w:szCs w:val="24"/>
              </w:rPr>
            </w:pP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沙河涌越秀区段</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左岸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2927</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堤路结合，直立式，局部复式</w:t>
            </w:r>
          </w:p>
        </w:tc>
      </w:tr>
      <w:tr>
        <w:tblPrEx>
          <w:tblCellMar>
            <w:top w:w="0" w:type="dxa"/>
            <w:left w:w="108" w:type="dxa"/>
            <w:bottom w:w="0" w:type="dxa"/>
            <w:right w:w="108" w:type="dxa"/>
          </w:tblCellMar>
        </w:tblPrEx>
        <w:trPr>
          <w:trHeight w:val="300" w:hRule="atLeast"/>
        </w:trPr>
        <w:tc>
          <w:tcPr>
            <w:tcW w:w="419" w:type="pct"/>
            <w:vMerge w:val="restart"/>
            <w:tcBorders>
              <w:top w:val="nil"/>
              <w:left w:val="double" w:color="auto" w:sz="6" w:space="0"/>
              <w:bottom w:val="single" w:color="000000"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4</w:t>
            </w: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景泰涌越秀区段</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右岸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1311</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堤路结合，直立式，局部梯形</w:t>
            </w:r>
          </w:p>
        </w:tc>
      </w:tr>
      <w:tr>
        <w:tblPrEx>
          <w:tblCellMar>
            <w:top w:w="0" w:type="dxa"/>
            <w:left w:w="108" w:type="dxa"/>
            <w:bottom w:w="0" w:type="dxa"/>
            <w:right w:w="108" w:type="dxa"/>
          </w:tblCellMar>
        </w:tblPrEx>
        <w:trPr>
          <w:trHeight w:val="300" w:hRule="atLeast"/>
        </w:trPr>
        <w:tc>
          <w:tcPr>
            <w:tcW w:w="419" w:type="pct"/>
            <w:vMerge w:val="continue"/>
            <w:tcBorders>
              <w:top w:val="nil"/>
              <w:left w:val="double" w:color="auto" w:sz="6" w:space="0"/>
              <w:bottom w:val="single" w:color="000000" w:sz="8" w:space="0"/>
              <w:right w:val="single" w:color="auto" w:sz="8" w:space="0"/>
            </w:tcBorders>
            <w:vAlign w:val="center"/>
          </w:tcPr>
          <w:p>
            <w:pPr>
              <w:widowControl/>
              <w:spacing w:line="240" w:lineRule="auto"/>
              <w:ind w:firstLine="0" w:firstLineChars="0"/>
              <w:jc w:val="left"/>
              <w:rPr>
                <w:rFonts w:eastAsia="等线"/>
                <w:color w:val="000000"/>
                <w:kern w:val="0"/>
                <w:szCs w:val="24"/>
              </w:rPr>
            </w:pP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景泰涌越秀区段</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左岸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1385</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堤路结合，直立式，局部梯形</w:t>
            </w:r>
          </w:p>
        </w:tc>
      </w:tr>
      <w:tr>
        <w:tblPrEx>
          <w:tblCellMar>
            <w:top w:w="0" w:type="dxa"/>
            <w:left w:w="108" w:type="dxa"/>
            <w:bottom w:w="0" w:type="dxa"/>
            <w:right w:w="108" w:type="dxa"/>
          </w:tblCellMar>
        </w:tblPrEx>
        <w:trPr>
          <w:trHeight w:val="300" w:hRule="atLeast"/>
        </w:trPr>
        <w:tc>
          <w:tcPr>
            <w:tcW w:w="419" w:type="pct"/>
            <w:vMerge w:val="restart"/>
            <w:tcBorders>
              <w:top w:val="nil"/>
              <w:left w:val="double" w:color="auto" w:sz="6" w:space="0"/>
              <w:bottom w:val="single" w:color="000000"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5</w:t>
            </w: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水均岗涌</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左岸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281</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w:t>
            </w:r>
          </w:p>
        </w:tc>
      </w:tr>
      <w:tr>
        <w:tblPrEx>
          <w:tblCellMar>
            <w:top w:w="0" w:type="dxa"/>
            <w:left w:w="108" w:type="dxa"/>
            <w:bottom w:w="0" w:type="dxa"/>
            <w:right w:w="108" w:type="dxa"/>
          </w:tblCellMar>
        </w:tblPrEx>
        <w:trPr>
          <w:trHeight w:val="300" w:hRule="atLeast"/>
        </w:trPr>
        <w:tc>
          <w:tcPr>
            <w:tcW w:w="419" w:type="pct"/>
            <w:vMerge w:val="continue"/>
            <w:tcBorders>
              <w:top w:val="nil"/>
              <w:left w:val="double" w:color="auto" w:sz="6" w:space="0"/>
              <w:bottom w:val="single" w:color="000000" w:sz="8" w:space="0"/>
              <w:right w:val="single" w:color="auto" w:sz="8" w:space="0"/>
            </w:tcBorders>
            <w:vAlign w:val="center"/>
          </w:tcPr>
          <w:p>
            <w:pPr>
              <w:widowControl/>
              <w:spacing w:line="240" w:lineRule="auto"/>
              <w:ind w:firstLine="0" w:firstLineChars="0"/>
              <w:jc w:val="left"/>
              <w:rPr>
                <w:rFonts w:eastAsia="等线"/>
                <w:color w:val="000000"/>
                <w:kern w:val="0"/>
                <w:szCs w:val="24"/>
              </w:rPr>
            </w:pP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水均岗涌</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右岸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285</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w:t>
            </w:r>
          </w:p>
        </w:tc>
      </w:tr>
      <w:tr>
        <w:tblPrEx>
          <w:tblCellMar>
            <w:top w:w="0" w:type="dxa"/>
            <w:left w:w="108" w:type="dxa"/>
            <w:bottom w:w="0" w:type="dxa"/>
            <w:right w:w="108" w:type="dxa"/>
          </w:tblCellMar>
        </w:tblPrEx>
        <w:trPr>
          <w:trHeight w:val="300" w:hRule="atLeast"/>
        </w:trPr>
        <w:tc>
          <w:tcPr>
            <w:tcW w:w="419" w:type="pct"/>
            <w:tcBorders>
              <w:top w:val="nil"/>
              <w:left w:val="double" w:color="auto" w:sz="6" w:space="0"/>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6</w:t>
            </w:r>
          </w:p>
        </w:tc>
        <w:tc>
          <w:tcPr>
            <w:tcW w:w="978"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新市涌</w:t>
            </w:r>
          </w:p>
        </w:tc>
        <w:tc>
          <w:tcPr>
            <w:tcW w:w="1476"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左岸</w:t>
            </w:r>
          </w:p>
        </w:tc>
        <w:tc>
          <w:tcPr>
            <w:tcW w:w="924" w:type="pct"/>
            <w:tcBorders>
              <w:top w:val="nil"/>
              <w:left w:val="nil"/>
              <w:bottom w:val="single" w:color="auto" w:sz="8"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1682</w:t>
            </w:r>
          </w:p>
        </w:tc>
        <w:tc>
          <w:tcPr>
            <w:tcW w:w="1203" w:type="pct"/>
            <w:tcBorders>
              <w:top w:val="nil"/>
              <w:left w:val="nil"/>
              <w:bottom w:val="single" w:color="auto" w:sz="8" w:space="0"/>
              <w:right w:val="double" w:color="auto" w:sz="6"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堤路结合，直立式，局部复式</w:t>
            </w:r>
          </w:p>
        </w:tc>
      </w:tr>
      <w:tr>
        <w:tblPrEx>
          <w:tblCellMar>
            <w:top w:w="0" w:type="dxa"/>
            <w:left w:w="108" w:type="dxa"/>
            <w:bottom w:w="0" w:type="dxa"/>
            <w:right w:w="108" w:type="dxa"/>
          </w:tblCellMar>
        </w:tblPrEx>
        <w:trPr>
          <w:trHeight w:val="300" w:hRule="atLeast"/>
        </w:trPr>
        <w:tc>
          <w:tcPr>
            <w:tcW w:w="2873" w:type="pct"/>
            <w:gridSpan w:val="3"/>
            <w:tcBorders>
              <w:top w:val="single" w:color="auto" w:sz="8" w:space="0"/>
              <w:left w:val="double" w:color="auto" w:sz="6" w:space="0"/>
              <w:bottom w:val="double" w:color="auto" w:sz="6" w:space="0"/>
              <w:right w:val="single" w:color="000000" w:sz="8" w:space="0"/>
            </w:tcBorders>
            <w:shd w:val="clear" w:color="auto" w:fill="auto"/>
            <w:noWrap/>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总长</w:t>
            </w:r>
          </w:p>
        </w:tc>
        <w:tc>
          <w:tcPr>
            <w:tcW w:w="924" w:type="pct"/>
            <w:tcBorders>
              <w:top w:val="nil"/>
              <w:left w:val="nil"/>
              <w:bottom w:val="double" w:color="auto" w:sz="6" w:space="0"/>
              <w:right w:val="single" w:color="auto" w:sz="8"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23150</w:t>
            </w:r>
          </w:p>
        </w:tc>
        <w:tc>
          <w:tcPr>
            <w:tcW w:w="1203" w:type="pct"/>
            <w:tcBorders>
              <w:top w:val="nil"/>
              <w:left w:val="nil"/>
              <w:bottom w:val="double" w:color="auto" w:sz="6" w:space="0"/>
              <w:right w:val="double" w:color="auto" w:sz="6" w:space="0"/>
            </w:tcBorders>
            <w:shd w:val="clear" w:color="auto" w:fill="auto"/>
            <w:noWrap/>
            <w:vAlign w:val="center"/>
          </w:tcPr>
          <w:p>
            <w:pPr>
              <w:widowControl/>
              <w:spacing w:line="240" w:lineRule="auto"/>
              <w:ind w:firstLine="0" w:firstLineChars="0"/>
              <w:jc w:val="center"/>
              <w:rPr>
                <w:rFonts w:eastAsia="等线"/>
                <w:color w:val="000000"/>
                <w:kern w:val="0"/>
                <w:szCs w:val="24"/>
              </w:rPr>
            </w:pPr>
            <w:r>
              <w:rPr>
                <w:rFonts w:eastAsia="等线"/>
                <w:color w:val="000000"/>
                <w:kern w:val="0"/>
                <w:szCs w:val="24"/>
              </w:rPr>
              <w:t>　</w:t>
            </w:r>
          </w:p>
        </w:tc>
      </w:tr>
    </w:tbl>
    <w:p>
      <w:pPr>
        <w:ind w:firstLine="560"/>
        <w:rPr>
          <w:sz w:val="28"/>
        </w:rPr>
        <w:sectPr>
          <w:footerReference r:id="rId11" w:type="default"/>
          <w:pgSz w:w="16840" w:h="11907" w:orient="landscape"/>
          <w:pgMar w:top="1797" w:right="1440" w:bottom="1797" w:left="1440" w:header="851" w:footer="992" w:gutter="0"/>
          <w:cols w:space="425" w:num="1"/>
          <w:docGrid w:type="linesAndChars" w:linePitch="326" w:charSpace="0"/>
        </w:sectPr>
      </w:pPr>
    </w:p>
    <w:p>
      <w:pPr>
        <w:widowControl/>
        <w:spacing w:line="240" w:lineRule="auto"/>
        <w:ind w:firstLine="0" w:firstLineChars="0"/>
        <w:jc w:val="left"/>
        <w:outlineLvl w:val="0"/>
        <w:rPr>
          <w:b/>
          <w:sz w:val="44"/>
          <w:szCs w:val="44"/>
        </w:rPr>
      </w:pPr>
      <w:bookmarkStart w:id="10" w:name="_Toc57638888"/>
      <w:r>
        <w:rPr>
          <w:rFonts w:hint="eastAsia"/>
          <w:b/>
          <w:sz w:val="44"/>
          <w:szCs w:val="44"/>
        </w:rPr>
        <w:t>四</w:t>
      </w:r>
      <w:r>
        <w:rPr>
          <w:b/>
          <w:sz w:val="44"/>
          <w:szCs w:val="44"/>
        </w:rPr>
        <w:t>、</w:t>
      </w:r>
      <w:r>
        <w:rPr>
          <w:rFonts w:hint="eastAsia"/>
          <w:b/>
          <w:sz w:val="44"/>
          <w:szCs w:val="44"/>
        </w:rPr>
        <w:t>堤防</w:t>
      </w:r>
      <w:r>
        <w:rPr>
          <w:b/>
          <w:sz w:val="44"/>
          <w:szCs w:val="44"/>
        </w:rPr>
        <w:t>工程及</w:t>
      </w:r>
      <w:r>
        <w:rPr>
          <w:rFonts w:hint="eastAsia"/>
          <w:b/>
          <w:sz w:val="44"/>
          <w:szCs w:val="44"/>
        </w:rPr>
        <w:t>水利工程管理范围</w:t>
      </w:r>
      <w:r>
        <w:rPr>
          <w:b/>
          <w:sz w:val="44"/>
          <w:szCs w:val="44"/>
        </w:rPr>
        <w:t>及保护范围</w:t>
      </w:r>
      <w:r>
        <w:rPr>
          <w:rFonts w:hint="eastAsia"/>
          <w:b/>
          <w:sz w:val="44"/>
          <w:szCs w:val="44"/>
        </w:rPr>
        <w:t>划定</w:t>
      </w:r>
      <w:bookmarkEnd w:id="10"/>
    </w:p>
    <w:p>
      <w:pPr>
        <w:ind w:firstLine="562"/>
        <w:outlineLvl w:val="1"/>
        <w:rPr>
          <w:b/>
          <w:sz w:val="28"/>
        </w:rPr>
      </w:pPr>
      <w:bookmarkStart w:id="11" w:name="_Toc57638889"/>
      <w:r>
        <w:rPr>
          <w:rFonts w:hint="eastAsia"/>
          <w:b/>
          <w:sz w:val="28"/>
        </w:rPr>
        <w:t>1、定义</w:t>
      </w:r>
      <w:bookmarkEnd w:id="11"/>
    </w:p>
    <w:p>
      <w:pPr>
        <w:ind w:firstLine="562"/>
        <w:rPr>
          <w:b/>
          <w:sz w:val="28"/>
        </w:rPr>
      </w:pPr>
      <w:r>
        <w:rPr>
          <w:rFonts w:hint="eastAsia"/>
          <w:b/>
          <w:sz w:val="28"/>
        </w:rPr>
        <w:t>（1）水闸</w:t>
      </w:r>
      <w:r>
        <w:rPr>
          <w:b/>
          <w:sz w:val="28"/>
        </w:rPr>
        <w:t>工程管理</w:t>
      </w:r>
      <w:r>
        <w:rPr>
          <w:rFonts w:hint="eastAsia"/>
          <w:b/>
          <w:sz w:val="28"/>
        </w:rPr>
        <w:t>范围</w:t>
      </w:r>
      <w:r>
        <w:rPr>
          <w:b/>
          <w:sz w:val="28"/>
        </w:rPr>
        <w:t>及保护范围</w:t>
      </w:r>
    </w:p>
    <w:p>
      <w:pPr>
        <w:ind w:firstLine="560"/>
        <w:rPr>
          <w:sz w:val="28"/>
        </w:rPr>
      </w:pPr>
      <w:r>
        <w:rPr>
          <w:rFonts w:hint="eastAsia"/>
          <w:sz w:val="28"/>
        </w:rPr>
        <w:t>其中，</w:t>
      </w:r>
      <w:r>
        <w:rPr>
          <w:rFonts w:hint="eastAsia"/>
          <w:b/>
          <w:sz w:val="28"/>
        </w:rPr>
        <w:t>水闸</w:t>
      </w:r>
      <w:r>
        <w:rPr>
          <w:b/>
          <w:sz w:val="28"/>
        </w:rPr>
        <w:t>工程管理范围</w:t>
      </w:r>
      <w:r>
        <w:rPr>
          <w:rFonts w:hint="eastAsia"/>
          <w:b/>
          <w:sz w:val="28"/>
        </w:rPr>
        <w:t>包括</w:t>
      </w:r>
      <w:r>
        <w:rPr>
          <w:sz w:val="28"/>
        </w:rPr>
        <w:t>水闸管理单位</w:t>
      </w:r>
      <w:r>
        <w:rPr>
          <w:rFonts w:hint="eastAsia"/>
          <w:sz w:val="28"/>
        </w:rPr>
        <w:t>直接管理和使用的范围，应包括:</w:t>
      </w:r>
    </w:p>
    <w:p>
      <w:pPr>
        <w:ind w:firstLine="560"/>
        <w:rPr>
          <w:sz w:val="28"/>
        </w:rPr>
      </w:pPr>
      <w:r>
        <w:rPr>
          <w:rFonts w:hint="eastAsia"/>
          <w:sz w:val="28"/>
        </w:rPr>
        <w:t>1）水闸工程各组成部分的覆盖范围。包括上游引水渠、闸室、下游消能防冲工程和两岸联接建筑物。</w:t>
      </w:r>
    </w:p>
    <w:p>
      <w:pPr>
        <w:ind w:firstLine="560"/>
        <w:rPr>
          <w:sz w:val="28"/>
        </w:rPr>
      </w:pPr>
      <w:r>
        <w:rPr>
          <w:rFonts w:hint="eastAsia"/>
          <w:sz w:val="28"/>
        </w:rPr>
        <w:t>2）为保证工程安全加固维修,美化环境等需要，在水闸工程建筑物覆盖范围以外划出的一定范围。</w:t>
      </w:r>
    </w:p>
    <w:p>
      <w:pPr>
        <w:ind w:firstLine="560"/>
        <w:rPr>
          <w:sz w:val="28"/>
        </w:rPr>
      </w:pPr>
      <w:r>
        <w:rPr>
          <w:rFonts w:hint="eastAsia"/>
          <w:sz w:val="28"/>
        </w:rPr>
        <w:t>3）管理和运行所必需的其他设施占地。包括管理单也的生产、生活区，多种经营生产区以及职工文化、福利设施等建设占地。</w:t>
      </w:r>
    </w:p>
    <w:p>
      <w:pPr>
        <w:ind w:firstLine="562"/>
        <w:rPr>
          <w:sz w:val="28"/>
        </w:rPr>
      </w:pPr>
      <w:r>
        <w:rPr>
          <w:rFonts w:hint="eastAsia"/>
          <w:b/>
          <w:sz w:val="28"/>
        </w:rPr>
        <w:t>水闸</w:t>
      </w:r>
      <w:r>
        <w:rPr>
          <w:b/>
          <w:sz w:val="28"/>
        </w:rPr>
        <w:t>保护范围规定为</w:t>
      </w:r>
      <w:r>
        <w:rPr>
          <w:rFonts w:hint="eastAsia"/>
          <w:sz w:val="28"/>
        </w:rPr>
        <w:t>为保证工程安全，在工程管理范围以外划定一定的宽度，在此范围内禁止挖洞、建窑、打井、爆破等危害工程安全的活动。</w:t>
      </w:r>
    </w:p>
    <w:p>
      <w:pPr>
        <w:ind w:firstLine="562"/>
        <w:rPr>
          <w:b/>
          <w:sz w:val="28"/>
        </w:rPr>
      </w:pPr>
      <w:r>
        <w:rPr>
          <w:rFonts w:hint="eastAsia"/>
          <w:b/>
          <w:sz w:val="28"/>
        </w:rPr>
        <w:t>（</w:t>
      </w:r>
      <w:r>
        <w:rPr>
          <w:b/>
          <w:sz w:val="28"/>
        </w:rPr>
        <w:t>2</w:t>
      </w:r>
      <w:r>
        <w:rPr>
          <w:rFonts w:hint="eastAsia"/>
          <w:b/>
          <w:sz w:val="28"/>
        </w:rPr>
        <w:t>）泵站</w:t>
      </w:r>
      <w:r>
        <w:rPr>
          <w:b/>
          <w:sz w:val="28"/>
        </w:rPr>
        <w:t>工程管理</w:t>
      </w:r>
      <w:r>
        <w:rPr>
          <w:rFonts w:hint="eastAsia"/>
          <w:b/>
          <w:sz w:val="28"/>
        </w:rPr>
        <w:t>范围</w:t>
      </w:r>
      <w:r>
        <w:rPr>
          <w:b/>
          <w:sz w:val="28"/>
        </w:rPr>
        <w:t>及保护范围</w:t>
      </w:r>
    </w:p>
    <w:p>
      <w:pPr>
        <w:ind w:firstLine="562"/>
        <w:rPr>
          <w:sz w:val="28"/>
        </w:rPr>
      </w:pPr>
      <w:r>
        <w:rPr>
          <w:rFonts w:hint="eastAsia"/>
          <w:b/>
          <w:sz w:val="28"/>
        </w:rPr>
        <w:t>泵站工程管理范围及</w:t>
      </w:r>
      <w:r>
        <w:rPr>
          <w:b/>
          <w:sz w:val="28"/>
        </w:rPr>
        <w:t>保护范围</w:t>
      </w:r>
      <w:r>
        <w:rPr>
          <w:rFonts w:hint="eastAsia"/>
          <w:sz w:val="28"/>
        </w:rPr>
        <w:t>在</w:t>
      </w:r>
      <w:r>
        <w:rPr>
          <w:sz w:val="28"/>
        </w:rPr>
        <w:t>规范中</w:t>
      </w:r>
      <w:r>
        <w:rPr>
          <w:rFonts w:hint="eastAsia"/>
          <w:sz w:val="28"/>
        </w:rPr>
        <w:t>无</w:t>
      </w:r>
      <w:r>
        <w:rPr>
          <w:sz w:val="28"/>
        </w:rPr>
        <w:t>明确定义，根据</w:t>
      </w:r>
      <w:r>
        <w:rPr>
          <w:rFonts w:hint="eastAsia"/>
          <w:sz w:val="28"/>
        </w:rPr>
        <w:t>《广东省水利基础设施空间布局规划辅导材料》要求泵站参照</w:t>
      </w:r>
      <w:r>
        <w:rPr>
          <w:sz w:val="28"/>
        </w:rPr>
        <w:t>水闸</w:t>
      </w:r>
      <w:r>
        <w:rPr>
          <w:rFonts w:hint="eastAsia"/>
          <w:sz w:val="28"/>
        </w:rPr>
        <w:t>标准</w:t>
      </w:r>
      <w:r>
        <w:rPr>
          <w:sz w:val="28"/>
        </w:rPr>
        <w:t>划定。</w:t>
      </w:r>
    </w:p>
    <w:p>
      <w:pPr>
        <w:ind w:firstLine="562"/>
        <w:rPr>
          <w:b/>
          <w:sz w:val="28"/>
        </w:rPr>
      </w:pPr>
      <w:r>
        <w:rPr>
          <w:rFonts w:hint="eastAsia"/>
          <w:b/>
          <w:sz w:val="28"/>
        </w:rPr>
        <w:t>（3）堤防</w:t>
      </w:r>
      <w:r>
        <w:rPr>
          <w:b/>
          <w:sz w:val="28"/>
        </w:rPr>
        <w:t>工程管理</w:t>
      </w:r>
      <w:r>
        <w:rPr>
          <w:rFonts w:hint="eastAsia"/>
          <w:b/>
          <w:sz w:val="28"/>
        </w:rPr>
        <w:t>范围</w:t>
      </w:r>
      <w:r>
        <w:rPr>
          <w:b/>
          <w:sz w:val="28"/>
        </w:rPr>
        <w:t>及保护范围</w:t>
      </w:r>
    </w:p>
    <w:p>
      <w:pPr>
        <w:ind w:firstLine="562"/>
        <w:rPr>
          <w:sz w:val="28"/>
        </w:rPr>
      </w:pPr>
      <w:r>
        <w:rPr>
          <w:rFonts w:hint="eastAsia"/>
          <w:b/>
          <w:sz w:val="28"/>
        </w:rPr>
        <w:t>堤防</w:t>
      </w:r>
      <w:r>
        <w:rPr>
          <w:b/>
          <w:sz w:val="28"/>
        </w:rPr>
        <w:t>工程管理范围</w:t>
      </w:r>
      <w:r>
        <w:rPr>
          <w:rFonts w:hint="eastAsia"/>
          <w:sz w:val="28"/>
        </w:rPr>
        <w:t>一般应包括以下工程和设施的建筑场地和管理用地：</w:t>
      </w:r>
    </w:p>
    <w:p>
      <w:pPr>
        <w:ind w:firstLine="560"/>
        <w:rPr>
          <w:sz w:val="28"/>
        </w:rPr>
      </w:pPr>
      <w:r>
        <w:rPr>
          <w:rFonts w:hint="eastAsia"/>
          <w:sz w:val="28"/>
        </w:rPr>
        <w:t>1）堤身、堤内外戗堤，防渗导渗工程及堤内、外护堤地。</w:t>
      </w:r>
    </w:p>
    <w:p>
      <w:pPr>
        <w:ind w:firstLine="560"/>
        <w:rPr>
          <w:sz w:val="28"/>
        </w:rPr>
      </w:pPr>
      <w:r>
        <w:rPr>
          <w:rFonts w:hint="eastAsia"/>
          <w:sz w:val="28"/>
        </w:rPr>
        <w:t>2）穿堤、跨堤交叉建筑物；包括各类水闸、船闸、桥涵、泵站、鱼道、伐道、道口、码头等。</w:t>
      </w:r>
    </w:p>
    <w:p>
      <w:pPr>
        <w:ind w:firstLine="560"/>
        <w:rPr>
          <w:sz w:val="28"/>
        </w:rPr>
      </w:pPr>
      <w:r>
        <w:rPr>
          <w:rFonts w:hint="eastAsia"/>
          <w:sz w:val="28"/>
        </w:rPr>
        <w:t>3）附属工程设施；包括观测、交通、通信设施、测量控制标点、护堤哨所、界碑里程碑及其他维护管理设施。</w:t>
      </w:r>
    </w:p>
    <w:p>
      <w:pPr>
        <w:ind w:firstLine="560"/>
        <w:rPr>
          <w:sz w:val="28"/>
        </w:rPr>
      </w:pPr>
      <w:r>
        <w:rPr>
          <w:rFonts w:hint="eastAsia"/>
          <w:sz w:val="28"/>
        </w:rPr>
        <w:t>4）护岸控导工程包括各类立式和坡式护岸建筑物，如丁坝、顺坝、坝垛、石矾等。</w:t>
      </w:r>
    </w:p>
    <w:p>
      <w:pPr>
        <w:ind w:firstLine="560"/>
        <w:rPr>
          <w:sz w:val="28"/>
        </w:rPr>
      </w:pPr>
      <w:r>
        <w:rPr>
          <w:rFonts w:hint="eastAsia"/>
          <w:sz w:val="28"/>
        </w:rPr>
        <w:t>5）综合开发经营生产基地。</w:t>
      </w:r>
    </w:p>
    <w:p>
      <w:pPr>
        <w:ind w:firstLine="560"/>
        <w:rPr>
          <w:sz w:val="28"/>
        </w:rPr>
      </w:pPr>
      <w:r>
        <w:rPr>
          <w:rFonts w:hint="eastAsia"/>
          <w:sz w:val="28"/>
        </w:rPr>
        <w:t>6）管理单位生产、生活区建筑：包括办公用房屋、设备材料仓库、维修生产车间、砂石料堆场、职工住宅及其他生产生活福利设施。</w:t>
      </w:r>
    </w:p>
    <w:p>
      <w:pPr>
        <w:ind w:firstLine="560"/>
        <w:rPr>
          <w:sz w:val="28"/>
        </w:rPr>
      </w:pPr>
      <w:r>
        <w:rPr>
          <w:rFonts w:hint="eastAsia"/>
          <w:sz w:val="28"/>
        </w:rPr>
        <w:t>护堤地</w:t>
      </w:r>
      <w:r>
        <w:rPr>
          <w:sz w:val="28"/>
        </w:rPr>
        <w:t>范围为管理范围的一部分，</w:t>
      </w:r>
      <w:r>
        <w:rPr>
          <w:rFonts w:hint="eastAsia"/>
          <w:sz w:val="28"/>
        </w:rPr>
        <w:t>应根据工程级别并结合当地的自然条件、历史习惯和土地资源开发利用等情况进行综合分析确定：</w:t>
      </w:r>
    </w:p>
    <w:p>
      <w:pPr>
        <w:ind w:firstLine="560"/>
        <w:rPr>
          <w:sz w:val="28"/>
        </w:rPr>
      </w:pPr>
      <w:r>
        <w:rPr>
          <w:rFonts w:hint="eastAsia"/>
          <w:sz w:val="28"/>
        </w:rPr>
        <w:t>1）护堤地的顺堤向布置应与堤防走向一致；</w:t>
      </w:r>
    </w:p>
    <w:p>
      <w:pPr>
        <w:ind w:firstLine="560"/>
        <w:rPr>
          <w:sz w:val="28"/>
        </w:rPr>
      </w:pPr>
      <w:r>
        <w:rPr>
          <w:rFonts w:hint="eastAsia"/>
          <w:sz w:val="28"/>
        </w:rPr>
        <w:t>2）护堤地横向宽度，应与堤防内外坡脚线开始起算；</w:t>
      </w:r>
    </w:p>
    <w:p>
      <w:pPr>
        <w:ind w:firstLine="560"/>
        <w:rPr>
          <w:sz w:val="28"/>
        </w:rPr>
      </w:pPr>
      <w:r>
        <w:rPr>
          <w:rFonts w:hint="eastAsia"/>
          <w:sz w:val="28"/>
        </w:rPr>
        <w:t>3）堤内、外护堤地宽度，参照规范确定；</w:t>
      </w:r>
    </w:p>
    <w:p>
      <w:pPr>
        <w:ind w:firstLine="560"/>
        <w:rPr>
          <w:sz w:val="28"/>
        </w:rPr>
      </w:pPr>
      <w:r>
        <w:rPr>
          <w:rFonts w:hint="eastAsia"/>
          <w:sz w:val="28"/>
        </w:rPr>
        <w:t>4）堤防工程首尾端护堤地纵向延伸长度，应根据地形特点适当延伸，一般可参照相应护堤地的横向宽度确定。</w:t>
      </w:r>
    </w:p>
    <w:p>
      <w:pPr>
        <w:ind w:firstLine="560"/>
        <w:rPr>
          <w:sz w:val="28"/>
        </w:rPr>
      </w:pPr>
      <w:r>
        <w:rPr>
          <w:rFonts w:hint="eastAsia"/>
          <w:sz w:val="28"/>
        </w:rPr>
        <w:t>5）特别重要的堤防工程或重点险工险段，根据工程安全和管理运用需要，可适当扩大护堤地范围。</w:t>
      </w:r>
    </w:p>
    <w:p>
      <w:pPr>
        <w:ind w:firstLine="560"/>
        <w:rPr>
          <w:sz w:val="28"/>
        </w:rPr>
      </w:pPr>
      <w:r>
        <w:rPr>
          <w:rFonts w:hint="eastAsia"/>
          <w:sz w:val="28"/>
        </w:rPr>
        <w:t>6）海堤工程的护堤地范围，一般临海一侧的护堤地宽度为100~200m；背海一侧的护堤地宽度为20~50m。背海侧顺堤向挖有海堤河的，护堤地宽度应以海堤河为界。</w:t>
      </w:r>
    </w:p>
    <w:p>
      <w:pPr>
        <w:ind w:firstLine="560"/>
        <w:rPr>
          <w:sz w:val="28"/>
        </w:rPr>
      </w:pPr>
      <w:r>
        <w:rPr>
          <w:rFonts w:hint="eastAsia"/>
          <w:sz w:val="28"/>
        </w:rPr>
        <w:t>7）城市堤防工程的护堤地宽度，在保证工程安全和管理运用方便的前提下，可根据城区土地利用情况，对规定的数值进行适当调整。</w:t>
      </w:r>
    </w:p>
    <w:p>
      <w:pPr>
        <w:ind w:firstLine="562"/>
        <w:rPr>
          <w:sz w:val="28"/>
        </w:rPr>
      </w:pPr>
      <w:r>
        <w:rPr>
          <w:rFonts w:hint="eastAsia"/>
          <w:b/>
          <w:sz w:val="28"/>
        </w:rPr>
        <w:t>堤防</w:t>
      </w:r>
      <w:r>
        <w:rPr>
          <w:b/>
          <w:sz w:val="28"/>
        </w:rPr>
        <w:t>工程保护范围</w:t>
      </w:r>
      <w:r>
        <w:rPr>
          <w:rFonts w:hint="eastAsia"/>
          <w:sz w:val="28"/>
        </w:rPr>
        <w:t>为在堤防工程背水侧紧邻护堤地边界线以外划定</w:t>
      </w:r>
      <w:r>
        <w:rPr>
          <w:sz w:val="28"/>
        </w:rPr>
        <w:t>一定的区域，</w:t>
      </w:r>
      <w:r>
        <w:rPr>
          <w:rFonts w:hint="eastAsia"/>
          <w:sz w:val="28"/>
        </w:rPr>
        <w:t>作为</w:t>
      </w:r>
      <w:r>
        <w:rPr>
          <w:sz w:val="28"/>
        </w:rPr>
        <w:t>工程保护范围。划定</w:t>
      </w:r>
      <w:r>
        <w:rPr>
          <w:rFonts w:hint="eastAsia"/>
          <w:sz w:val="28"/>
        </w:rPr>
        <w:t>依据</w:t>
      </w:r>
      <w:r>
        <w:rPr>
          <w:sz w:val="28"/>
        </w:rPr>
        <w:t>工程等别</w:t>
      </w:r>
      <w:r>
        <w:rPr>
          <w:rFonts w:hint="eastAsia"/>
          <w:sz w:val="28"/>
        </w:rPr>
        <w:t>确定</w:t>
      </w:r>
      <w:r>
        <w:rPr>
          <w:sz w:val="28"/>
        </w:rPr>
        <w:t>，</w:t>
      </w:r>
      <w:r>
        <w:rPr>
          <w:rFonts w:hint="eastAsia"/>
          <w:sz w:val="28"/>
        </w:rPr>
        <w:t>临水侧宽度可结合国家颁布的《河通管理条例》有关规定、河道管理需要及工程实际情况确定。在堤防的保护范围内不得从事开挖土方、打井、爆破等危害工程安全的活动。</w:t>
      </w:r>
    </w:p>
    <w:p>
      <w:pPr>
        <w:ind w:firstLine="560"/>
        <w:rPr>
          <w:sz w:val="28"/>
        </w:rPr>
      </w:pPr>
      <w:r>
        <w:rPr>
          <w:rFonts w:hint="eastAsia"/>
          <w:sz w:val="28"/>
        </w:rPr>
        <w:t>堤防工程管理范围及</w:t>
      </w:r>
      <w:r>
        <w:rPr>
          <w:sz w:val="28"/>
        </w:rPr>
        <w:t>保护范围</w:t>
      </w:r>
      <w:r>
        <w:rPr>
          <w:rFonts w:hint="eastAsia"/>
          <w:sz w:val="28"/>
        </w:rPr>
        <w:t>示意图</w:t>
      </w:r>
      <w:r>
        <w:rPr>
          <w:sz w:val="28"/>
        </w:rPr>
        <w:t>如下。</w:t>
      </w:r>
    </w:p>
    <w:p>
      <w:pPr>
        <w:ind w:firstLine="0" w:firstLineChars="0"/>
        <w:rPr>
          <w:sz w:val="28"/>
        </w:rPr>
      </w:pPr>
      <w:r>
        <w:rPr>
          <w:sz w:val="28"/>
        </w:rPr>
        <w:drawing>
          <wp:inline distT="0" distB="0" distL="0" distR="0">
            <wp:extent cx="8843645" cy="2608580"/>
            <wp:effectExtent l="0" t="0" r="0" b="12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8864215" cy="2614781"/>
                    </a:xfrm>
                    <a:prstGeom prst="rect">
                      <a:avLst/>
                    </a:prstGeom>
                    <a:noFill/>
                  </pic:spPr>
                </pic:pic>
              </a:graphicData>
            </a:graphic>
          </wp:inline>
        </w:drawing>
      </w:r>
    </w:p>
    <w:p>
      <w:pPr>
        <w:pStyle w:val="23"/>
        <w:rPr>
          <w:sz w:val="28"/>
        </w:rPr>
      </w:pPr>
      <w:r>
        <w:rPr>
          <w:rFonts w:hint="eastAsia"/>
          <w:sz w:val="28"/>
        </w:rPr>
        <w:t>图4-1</w:t>
      </w:r>
      <w:r>
        <w:rPr>
          <w:sz w:val="28"/>
        </w:rPr>
        <w:t xml:space="preserve"> </w:t>
      </w:r>
      <w:r>
        <w:rPr>
          <w:rFonts w:hint="eastAsia"/>
          <w:sz w:val="28"/>
        </w:rPr>
        <w:t>堤防</w:t>
      </w:r>
      <w:r>
        <w:rPr>
          <w:sz w:val="28"/>
        </w:rPr>
        <w:t>工程管理及保护范围示意图</w:t>
      </w:r>
    </w:p>
    <w:p>
      <w:pPr>
        <w:ind w:firstLine="562"/>
        <w:outlineLvl w:val="1"/>
        <w:rPr>
          <w:b/>
          <w:sz w:val="28"/>
        </w:rPr>
      </w:pPr>
      <w:bookmarkStart w:id="12" w:name="_Toc57638890"/>
      <w:r>
        <w:rPr>
          <w:rFonts w:hint="eastAsia"/>
          <w:b/>
          <w:sz w:val="28"/>
        </w:rPr>
        <w:t>2、划线技术依据</w:t>
      </w:r>
      <w:bookmarkEnd w:id="12"/>
    </w:p>
    <w:p>
      <w:pPr>
        <w:ind w:firstLine="560"/>
        <w:rPr>
          <w:sz w:val="28"/>
        </w:rPr>
      </w:pPr>
      <w:r>
        <w:rPr>
          <w:rFonts w:hint="eastAsia"/>
          <w:sz w:val="28"/>
        </w:rPr>
        <w:t>本次对各工程类别</w:t>
      </w:r>
      <w:r>
        <w:rPr>
          <w:sz w:val="28"/>
        </w:rPr>
        <w:t>的</w:t>
      </w:r>
      <w:r>
        <w:rPr>
          <w:rFonts w:hint="eastAsia"/>
          <w:sz w:val="28"/>
        </w:rPr>
        <w:t>工程</w:t>
      </w:r>
      <w:r>
        <w:rPr>
          <w:sz w:val="28"/>
        </w:rPr>
        <w:t>管理范围、保护范围</w:t>
      </w:r>
      <w:r>
        <w:rPr>
          <w:rFonts w:hint="eastAsia"/>
          <w:sz w:val="28"/>
        </w:rPr>
        <w:t>划线划定技术要求进行了</w:t>
      </w:r>
      <w:r>
        <w:rPr>
          <w:sz w:val="28"/>
        </w:rPr>
        <w:t>梳理</w:t>
      </w:r>
      <w:r>
        <w:rPr>
          <w:rFonts w:hint="eastAsia"/>
          <w:sz w:val="28"/>
        </w:rPr>
        <w:t>，制定了本次划线技术依据。</w:t>
      </w:r>
    </w:p>
    <w:p>
      <w:pPr>
        <w:ind w:firstLine="560"/>
        <w:rPr>
          <w:sz w:val="28"/>
        </w:rPr>
      </w:pPr>
    </w:p>
    <w:p>
      <w:pPr>
        <w:widowControl/>
        <w:spacing w:line="240" w:lineRule="auto"/>
        <w:ind w:firstLine="0" w:firstLineChars="0"/>
        <w:jc w:val="left"/>
        <w:rPr>
          <w:sz w:val="28"/>
        </w:rPr>
      </w:pPr>
      <w:r>
        <w:rPr>
          <w:sz w:val="28"/>
        </w:rPr>
        <w:br w:type="page"/>
      </w:r>
    </w:p>
    <w:p>
      <w:pPr>
        <w:pStyle w:val="21"/>
        <w:rPr>
          <w:sz w:val="28"/>
        </w:rPr>
      </w:pPr>
      <w:r>
        <w:rPr>
          <w:rFonts w:hint="eastAsia"/>
          <w:sz w:val="28"/>
        </w:rPr>
        <w:t>表</w:t>
      </w:r>
      <w:r>
        <w:rPr>
          <w:sz w:val="28"/>
        </w:rPr>
        <w:t>4-1</w:t>
      </w:r>
      <w:r>
        <w:rPr>
          <w:rFonts w:hint="eastAsia"/>
          <w:sz w:val="28"/>
        </w:rPr>
        <w:t xml:space="preserve"> 工程管理范围、保护范围划线技术依据汇总表</w:t>
      </w:r>
    </w:p>
    <w:tbl>
      <w:tblPr>
        <w:tblStyle w:val="12"/>
        <w:tblW w:w="5000" w:type="pct"/>
        <w:tblInd w:w="0" w:type="dxa"/>
        <w:tblLayout w:type="autofit"/>
        <w:tblCellMar>
          <w:top w:w="0" w:type="dxa"/>
          <w:left w:w="108" w:type="dxa"/>
          <w:bottom w:w="0" w:type="dxa"/>
          <w:right w:w="108" w:type="dxa"/>
        </w:tblCellMar>
      </w:tblPr>
      <w:tblGrid>
        <w:gridCol w:w="794"/>
        <w:gridCol w:w="1629"/>
        <w:gridCol w:w="2310"/>
        <w:gridCol w:w="5728"/>
        <w:gridCol w:w="3715"/>
      </w:tblGrid>
      <w:tr>
        <w:tblPrEx>
          <w:tblCellMar>
            <w:top w:w="0" w:type="dxa"/>
            <w:left w:w="108" w:type="dxa"/>
            <w:bottom w:w="0" w:type="dxa"/>
            <w:right w:w="108" w:type="dxa"/>
          </w:tblCellMar>
        </w:tblPrEx>
        <w:trPr>
          <w:trHeight w:val="20" w:hRule="atLeast"/>
          <w:tblHeader/>
        </w:trPr>
        <w:tc>
          <w:tcPr>
            <w:tcW w:w="303" w:type="pct"/>
            <w:tcBorders>
              <w:top w:val="double" w:color="auto" w:sz="4" w:space="0"/>
              <w:left w:val="double" w:color="auto" w:sz="4" w:space="0"/>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序号</w:t>
            </w:r>
          </w:p>
        </w:tc>
        <w:tc>
          <w:tcPr>
            <w:tcW w:w="597" w:type="pct"/>
            <w:tcBorders>
              <w:top w:val="double" w:color="auto" w:sz="4" w:space="0"/>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工程类别</w:t>
            </w:r>
          </w:p>
        </w:tc>
        <w:tc>
          <w:tcPr>
            <w:tcW w:w="724" w:type="pct"/>
            <w:tcBorders>
              <w:top w:val="double" w:color="auto" w:sz="4" w:space="0"/>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标准/要求出处</w:t>
            </w:r>
          </w:p>
        </w:tc>
        <w:tc>
          <w:tcPr>
            <w:tcW w:w="2043" w:type="pct"/>
            <w:tcBorders>
              <w:top w:val="double" w:color="auto" w:sz="4" w:space="0"/>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管理范围</w:t>
            </w:r>
          </w:p>
        </w:tc>
        <w:tc>
          <w:tcPr>
            <w:tcW w:w="1333" w:type="pct"/>
            <w:tcBorders>
              <w:top w:val="double" w:color="auto" w:sz="4" w:space="0"/>
              <w:left w:val="nil"/>
              <w:bottom w:val="single" w:color="auto" w:sz="4" w:space="0"/>
              <w:right w:val="double" w:color="auto" w:sz="4" w:space="0"/>
            </w:tcBorders>
            <w:shd w:val="clear" w:color="auto" w:fill="auto"/>
            <w:vAlign w:val="center"/>
          </w:tcPr>
          <w:p>
            <w:pPr>
              <w:pStyle w:val="19"/>
              <w:rPr>
                <w:b/>
                <w:sz w:val="28"/>
                <w:szCs w:val="24"/>
              </w:rPr>
            </w:pPr>
            <w:r>
              <w:rPr>
                <w:rFonts w:hint="eastAsia"/>
                <w:b/>
                <w:sz w:val="28"/>
                <w:szCs w:val="24"/>
              </w:rPr>
              <w:t>保护范围</w:t>
            </w:r>
          </w:p>
        </w:tc>
      </w:tr>
      <w:tr>
        <w:tblPrEx>
          <w:tblCellMar>
            <w:top w:w="0" w:type="dxa"/>
            <w:left w:w="108" w:type="dxa"/>
            <w:bottom w:w="0" w:type="dxa"/>
            <w:right w:w="108" w:type="dxa"/>
          </w:tblCellMar>
        </w:tblPrEx>
        <w:trPr>
          <w:trHeight w:val="20" w:hRule="atLeast"/>
        </w:trPr>
        <w:tc>
          <w:tcPr>
            <w:tcW w:w="303" w:type="pct"/>
            <w:tcBorders>
              <w:top w:val="nil"/>
              <w:left w:val="double" w:color="auto" w:sz="4" w:space="0"/>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一</w:t>
            </w:r>
          </w:p>
        </w:tc>
        <w:tc>
          <w:tcPr>
            <w:tcW w:w="597" w:type="pct"/>
            <w:tcBorders>
              <w:top w:val="nil"/>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水闸</w:t>
            </w:r>
          </w:p>
        </w:tc>
        <w:tc>
          <w:tcPr>
            <w:tcW w:w="724" w:type="pct"/>
            <w:tcBorders>
              <w:top w:val="nil"/>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　</w:t>
            </w:r>
          </w:p>
        </w:tc>
        <w:tc>
          <w:tcPr>
            <w:tcW w:w="2043" w:type="pct"/>
            <w:tcBorders>
              <w:top w:val="nil"/>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　</w:t>
            </w:r>
          </w:p>
        </w:tc>
        <w:tc>
          <w:tcPr>
            <w:tcW w:w="1333" w:type="pct"/>
            <w:tcBorders>
              <w:top w:val="nil"/>
              <w:left w:val="nil"/>
              <w:bottom w:val="single" w:color="auto" w:sz="4" w:space="0"/>
              <w:right w:val="double" w:color="auto" w:sz="4" w:space="0"/>
            </w:tcBorders>
            <w:shd w:val="clear" w:color="auto" w:fill="auto"/>
            <w:vAlign w:val="center"/>
          </w:tcPr>
          <w:p>
            <w:pPr>
              <w:pStyle w:val="19"/>
              <w:rPr>
                <w:b/>
                <w:sz w:val="28"/>
                <w:szCs w:val="24"/>
              </w:rPr>
            </w:pPr>
            <w:r>
              <w:rPr>
                <w:rFonts w:hint="eastAsia"/>
                <w:b/>
                <w:sz w:val="28"/>
                <w:szCs w:val="24"/>
              </w:rPr>
              <w:t>　</w:t>
            </w:r>
          </w:p>
        </w:tc>
      </w:tr>
      <w:tr>
        <w:tblPrEx>
          <w:tblCellMar>
            <w:top w:w="0" w:type="dxa"/>
            <w:left w:w="108" w:type="dxa"/>
            <w:bottom w:w="0" w:type="dxa"/>
            <w:right w:w="108" w:type="dxa"/>
          </w:tblCellMar>
        </w:tblPrEx>
        <w:trPr>
          <w:trHeight w:val="20" w:hRule="atLeast"/>
        </w:trPr>
        <w:tc>
          <w:tcPr>
            <w:tcW w:w="900" w:type="pct"/>
            <w:gridSpan w:val="2"/>
            <w:tcBorders>
              <w:top w:val="single" w:color="auto" w:sz="4" w:space="0"/>
              <w:left w:val="double" w:color="auto" w:sz="4" w:space="0"/>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一般规定</w:t>
            </w: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《水闸工程管理设计规范》（SL170-96）</w:t>
            </w:r>
          </w:p>
        </w:tc>
        <w:tc>
          <w:tcPr>
            <w:tcW w:w="2043" w:type="pct"/>
            <w:tcBorders>
              <w:top w:val="nil"/>
              <w:left w:val="nil"/>
              <w:bottom w:val="single" w:color="auto" w:sz="4" w:space="0"/>
              <w:right w:val="single" w:color="auto" w:sz="4" w:space="0"/>
            </w:tcBorders>
            <w:shd w:val="clear" w:color="auto" w:fill="auto"/>
          </w:tcPr>
          <w:p>
            <w:pPr>
              <w:pStyle w:val="19"/>
              <w:rPr>
                <w:sz w:val="24"/>
                <w:szCs w:val="24"/>
              </w:rPr>
            </w:pPr>
            <w:r>
              <w:rPr>
                <w:rFonts w:hint="eastAsia"/>
                <w:sz w:val="24"/>
                <w:szCs w:val="24"/>
              </w:rPr>
              <w:t>水闸工程的管理范围是水闸管理单位直接管理和使用的范围，应包括:</w:t>
            </w:r>
            <w:r>
              <w:rPr>
                <w:rFonts w:hint="eastAsia"/>
                <w:sz w:val="24"/>
                <w:szCs w:val="24"/>
              </w:rPr>
              <w:br w:type="textWrapping"/>
            </w:r>
            <w:r>
              <w:rPr>
                <w:rFonts w:hint="eastAsia"/>
                <w:sz w:val="24"/>
                <w:szCs w:val="24"/>
              </w:rPr>
              <w:t>(1)水闸工程各组成部分的覆盖范围。包括上游引水渠、闸室、下游消能防冲工程和两岸联接建筑物。</w:t>
            </w:r>
            <w:r>
              <w:rPr>
                <w:rFonts w:hint="eastAsia"/>
                <w:sz w:val="24"/>
                <w:szCs w:val="24"/>
              </w:rPr>
              <w:br w:type="textWrapping"/>
            </w:r>
            <w:r>
              <w:rPr>
                <w:rFonts w:hint="eastAsia"/>
                <w:sz w:val="24"/>
                <w:szCs w:val="24"/>
              </w:rPr>
              <w:t>(2)为保证工程安全加固维修,美化环境等需要，在水闸工程建筑物覆盖范围以外划出的一定范围。</w:t>
            </w:r>
          </w:p>
          <w:p>
            <w:pPr>
              <w:pStyle w:val="19"/>
              <w:rPr>
                <w:sz w:val="24"/>
                <w:szCs w:val="24"/>
              </w:rPr>
            </w:pPr>
            <w:r>
              <w:rPr>
                <w:rFonts w:hint="eastAsia"/>
                <w:sz w:val="24"/>
                <w:szCs w:val="24"/>
              </w:rPr>
              <w:t>(3)管理和运行所必需的其他设施占地。包括管理单也的生产、生活区，多种经营生产区以及职工文化、福利设施等建设占地。</w:t>
            </w:r>
          </w:p>
        </w:tc>
        <w:tc>
          <w:tcPr>
            <w:tcW w:w="1333" w:type="pct"/>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水闸工程的保护范围是为保证工程安全，在工程管理范围以外划定一定的宽度，在此范围内禁止挖洞、建窑、打井、爆破等危害工程安全的活动。</w:t>
            </w:r>
            <w:r>
              <w:rPr>
                <w:rFonts w:hint="eastAsia"/>
                <w:sz w:val="24"/>
                <w:szCs w:val="24"/>
              </w:rPr>
              <w:br w:type="textWrapping"/>
            </w:r>
            <w:r>
              <w:rPr>
                <w:rFonts w:hint="eastAsia"/>
                <w:sz w:val="24"/>
                <w:szCs w:val="24"/>
              </w:rPr>
              <w:t>水闸工程的保护范围，可根据工程的具体情况确定。</w:t>
            </w:r>
          </w:p>
        </w:tc>
      </w:tr>
      <w:tr>
        <w:tblPrEx>
          <w:tblCellMar>
            <w:top w:w="0" w:type="dxa"/>
            <w:left w:w="108" w:type="dxa"/>
            <w:bottom w:w="0" w:type="dxa"/>
            <w:right w:w="108" w:type="dxa"/>
          </w:tblCellMar>
        </w:tblPrEx>
        <w:trPr>
          <w:trHeight w:val="20" w:hRule="atLeast"/>
        </w:trPr>
        <w:tc>
          <w:tcPr>
            <w:tcW w:w="303" w:type="pct"/>
            <w:vMerge w:val="restart"/>
            <w:tcBorders>
              <w:top w:val="nil"/>
              <w:left w:val="double" w:color="auto" w:sz="4" w:space="0"/>
              <w:bottom w:val="single" w:color="000000" w:sz="4" w:space="0"/>
              <w:right w:val="single" w:color="auto" w:sz="4" w:space="0"/>
            </w:tcBorders>
            <w:shd w:val="clear" w:color="auto" w:fill="auto"/>
            <w:vAlign w:val="center"/>
          </w:tcPr>
          <w:p>
            <w:pPr>
              <w:pStyle w:val="19"/>
              <w:rPr>
                <w:sz w:val="24"/>
                <w:szCs w:val="24"/>
              </w:rPr>
            </w:pPr>
            <w:r>
              <w:rPr>
                <w:rFonts w:hint="eastAsia"/>
                <w:sz w:val="24"/>
                <w:szCs w:val="24"/>
              </w:rPr>
              <w:t>1</w:t>
            </w:r>
          </w:p>
        </w:tc>
        <w:tc>
          <w:tcPr>
            <w:tcW w:w="597" w:type="pct"/>
            <w:vMerge w:val="restart"/>
            <w:tcBorders>
              <w:top w:val="nil"/>
              <w:left w:val="single" w:color="auto" w:sz="4" w:space="0"/>
              <w:bottom w:val="single" w:color="000000" w:sz="4" w:space="0"/>
              <w:right w:val="single" w:color="auto" w:sz="4" w:space="0"/>
            </w:tcBorders>
            <w:shd w:val="clear" w:color="auto" w:fill="auto"/>
            <w:vAlign w:val="center"/>
          </w:tcPr>
          <w:p>
            <w:pPr>
              <w:pStyle w:val="19"/>
              <w:rPr>
                <w:sz w:val="24"/>
                <w:szCs w:val="24"/>
              </w:rPr>
            </w:pPr>
            <w:r>
              <w:rPr>
                <w:rFonts w:hint="eastAsia"/>
                <w:sz w:val="24"/>
                <w:szCs w:val="24"/>
              </w:rPr>
              <w:t>大型水闸</w:t>
            </w: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《水闸设计规范》（SL265-2016）</w:t>
            </w:r>
          </w:p>
        </w:tc>
        <w:tc>
          <w:tcPr>
            <w:tcW w:w="2043"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管理范围为水闸工程建筑物覆盖范围以外，上下游边界以外宽度不大于300，两侧边界以外不大于100m</w:t>
            </w:r>
          </w:p>
        </w:tc>
        <w:tc>
          <w:tcPr>
            <w:tcW w:w="1333" w:type="pct"/>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在管理范围边界线以外划定的一定范围，大型上下游单侧300~500m，两侧单侧200~300m</w:t>
            </w:r>
          </w:p>
        </w:tc>
      </w:tr>
      <w:tr>
        <w:tblPrEx>
          <w:tblCellMar>
            <w:top w:w="0" w:type="dxa"/>
            <w:left w:w="108" w:type="dxa"/>
            <w:bottom w:w="0" w:type="dxa"/>
            <w:right w:w="108" w:type="dxa"/>
          </w:tblCellMar>
        </w:tblPrEx>
        <w:trPr>
          <w:trHeight w:val="20" w:hRule="atLeast"/>
        </w:trPr>
        <w:tc>
          <w:tcPr>
            <w:tcW w:w="303" w:type="pct"/>
            <w:vMerge w:val="continue"/>
            <w:tcBorders>
              <w:top w:val="nil"/>
              <w:left w:val="double" w:color="auto" w:sz="4" w:space="0"/>
              <w:bottom w:val="single" w:color="000000" w:sz="4" w:space="0"/>
              <w:right w:val="single" w:color="auto" w:sz="4" w:space="0"/>
            </w:tcBorders>
            <w:vAlign w:val="center"/>
          </w:tcPr>
          <w:p>
            <w:pPr>
              <w:pStyle w:val="19"/>
              <w:rPr>
                <w:sz w:val="24"/>
                <w:szCs w:val="24"/>
              </w:rPr>
            </w:pPr>
          </w:p>
        </w:tc>
        <w:tc>
          <w:tcPr>
            <w:tcW w:w="597" w:type="pct"/>
            <w:vMerge w:val="continue"/>
            <w:tcBorders>
              <w:top w:val="nil"/>
              <w:left w:val="single" w:color="auto" w:sz="4" w:space="0"/>
              <w:bottom w:val="single" w:color="000000" w:sz="4" w:space="0"/>
              <w:right w:val="single" w:color="auto" w:sz="4" w:space="0"/>
            </w:tcBorders>
            <w:vAlign w:val="center"/>
          </w:tcPr>
          <w:p>
            <w:pPr>
              <w:pStyle w:val="19"/>
              <w:rPr>
                <w:sz w:val="24"/>
                <w:szCs w:val="24"/>
              </w:rPr>
            </w:pP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《广东省水利工程管理条例》（2019 年修订）</w:t>
            </w:r>
          </w:p>
        </w:tc>
        <w:tc>
          <w:tcPr>
            <w:tcW w:w="2043"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大型水闸上、下游宽度三百至一千米，两侧宽度五十至二百米</w:t>
            </w:r>
          </w:p>
        </w:tc>
        <w:tc>
          <w:tcPr>
            <w:tcW w:w="1333" w:type="pct"/>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“水库、堤防、水闸和灌区的工程区、生产区的主体建筑物不少于二百米，其他附属建筑物不少于五十米</w:t>
            </w:r>
          </w:p>
        </w:tc>
      </w:tr>
      <w:tr>
        <w:tblPrEx>
          <w:tblCellMar>
            <w:top w:w="0" w:type="dxa"/>
            <w:left w:w="108" w:type="dxa"/>
            <w:bottom w:w="0" w:type="dxa"/>
            <w:right w:w="108" w:type="dxa"/>
          </w:tblCellMar>
        </w:tblPrEx>
        <w:trPr>
          <w:trHeight w:val="20" w:hRule="atLeast"/>
        </w:trPr>
        <w:tc>
          <w:tcPr>
            <w:tcW w:w="303" w:type="pct"/>
            <w:vMerge w:val="continue"/>
            <w:tcBorders>
              <w:top w:val="nil"/>
              <w:left w:val="double" w:color="auto" w:sz="4" w:space="0"/>
              <w:bottom w:val="single" w:color="000000" w:sz="4" w:space="0"/>
              <w:right w:val="single" w:color="auto" w:sz="4" w:space="0"/>
            </w:tcBorders>
            <w:vAlign w:val="center"/>
          </w:tcPr>
          <w:p>
            <w:pPr>
              <w:pStyle w:val="19"/>
              <w:rPr>
                <w:sz w:val="24"/>
                <w:szCs w:val="24"/>
              </w:rPr>
            </w:pPr>
          </w:p>
        </w:tc>
        <w:tc>
          <w:tcPr>
            <w:tcW w:w="597" w:type="pct"/>
            <w:vMerge w:val="continue"/>
            <w:tcBorders>
              <w:top w:val="nil"/>
              <w:left w:val="single" w:color="auto" w:sz="4" w:space="0"/>
              <w:bottom w:val="single" w:color="000000" w:sz="4" w:space="0"/>
              <w:right w:val="single" w:color="auto" w:sz="4" w:space="0"/>
            </w:tcBorders>
            <w:vAlign w:val="center"/>
          </w:tcPr>
          <w:p>
            <w:pPr>
              <w:pStyle w:val="19"/>
              <w:rPr>
                <w:sz w:val="24"/>
                <w:szCs w:val="24"/>
              </w:rPr>
            </w:pP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《广东省水利基础设施空间布局规划辅导材料》</w:t>
            </w:r>
          </w:p>
        </w:tc>
        <w:tc>
          <w:tcPr>
            <w:tcW w:w="3376" w:type="pct"/>
            <w:gridSpan w:val="2"/>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采用《水闸设计规范》（SL265-2016）要求</w:t>
            </w:r>
          </w:p>
        </w:tc>
      </w:tr>
      <w:tr>
        <w:tblPrEx>
          <w:tblCellMar>
            <w:top w:w="0" w:type="dxa"/>
            <w:left w:w="108" w:type="dxa"/>
            <w:bottom w:w="0" w:type="dxa"/>
            <w:right w:w="108" w:type="dxa"/>
          </w:tblCellMar>
        </w:tblPrEx>
        <w:trPr>
          <w:trHeight w:val="20" w:hRule="atLeast"/>
        </w:trPr>
        <w:tc>
          <w:tcPr>
            <w:tcW w:w="303" w:type="pct"/>
            <w:vMerge w:val="restart"/>
            <w:tcBorders>
              <w:top w:val="nil"/>
              <w:left w:val="double" w:color="auto" w:sz="4" w:space="0"/>
              <w:bottom w:val="single" w:color="000000" w:sz="4" w:space="0"/>
              <w:right w:val="single" w:color="auto" w:sz="4" w:space="0"/>
            </w:tcBorders>
            <w:shd w:val="clear" w:color="auto" w:fill="auto"/>
            <w:vAlign w:val="center"/>
          </w:tcPr>
          <w:p>
            <w:pPr>
              <w:pStyle w:val="19"/>
              <w:rPr>
                <w:sz w:val="24"/>
                <w:szCs w:val="24"/>
              </w:rPr>
            </w:pPr>
            <w:r>
              <w:rPr>
                <w:rFonts w:hint="eastAsia"/>
                <w:sz w:val="24"/>
                <w:szCs w:val="24"/>
              </w:rPr>
              <w:t>2</w:t>
            </w:r>
          </w:p>
        </w:tc>
        <w:tc>
          <w:tcPr>
            <w:tcW w:w="597" w:type="pct"/>
            <w:vMerge w:val="restart"/>
            <w:tcBorders>
              <w:top w:val="nil"/>
              <w:left w:val="single" w:color="auto" w:sz="4" w:space="0"/>
              <w:bottom w:val="single" w:color="000000" w:sz="4" w:space="0"/>
              <w:right w:val="single" w:color="auto" w:sz="4" w:space="0"/>
            </w:tcBorders>
            <w:shd w:val="clear" w:color="auto" w:fill="auto"/>
            <w:vAlign w:val="center"/>
          </w:tcPr>
          <w:p>
            <w:pPr>
              <w:pStyle w:val="19"/>
              <w:rPr>
                <w:sz w:val="24"/>
                <w:szCs w:val="24"/>
              </w:rPr>
            </w:pPr>
            <w:r>
              <w:rPr>
                <w:rFonts w:hint="eastAsia"/>
                <w:sz w:val="24"/>
                <w:szCs w:val="24"/>
              </w:rPr>
              <w:t>中型水闸</w:t>
            </w: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《水闸设计规范》（SL265-2016）</w:t>
            </w:r>
          </w:p>
        </w:tc>
        <w:tc>
          <w:tcPr>
            <w:tcW w:w="2043"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管理范围为水闸工程建筑物覆盖范围以外，上下游边界以外宽度不大于</w:t>
            </w:r>
            <w:r>
              <w:rPr>
                <w:sz w:val="24"/>
                <w:szCs w:val="24"/>
              </w:rPr>
              <w:t>15</w:t>
            </w:r>
            <w:r>
              <w:rPr>
                <w:rFonts w:hint="eastAsia"/>
                <w:sz w:val="24"/>
                <w:szCs w:val="24"/>
              </w:rPr>
              <w:t>0，两侧边界以外不大于</w:t>
            </w:r>
            <w:r>
              <w:rPr>
                <w:sz w:val="24"/>
                <w:szCs w:val="24"/>
              </w:rPr>
              <w:t>4</w:t>
            </w:r>
            <w:r>
              <w:rPr>
                <w:rFonts w:hint="eastAsia"/>
                <w:sz w:val="24"/>
                <w:szCs w:val="24"/>
              </w:rPr>
              <w:t>0m</w:t>
            </w:r>
          </w:p>
        </w:tc>
        <w:tc>
          <w:tcPr>
            <w:tcW w:w="1333" w:type="pct"/>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在管理范围边界线以外划定的一定范围，中型上下游单侧200~300m，两侧单侧100~200m</w:t>
            </w:r>
          </w:p>
        </w:tc>
      </w:tr>
      <w:tr>
        <w:tblPrEx>
          <w:tblCellMar>
            <w:top w:w="0" w:type="dxa"/>
            <w:left w:w="108" w:type="dxa"/>
            <w:bottom w:w="0" w:type="dxa"/>
            <w:right w:w="108" w:type="dxa"/>
          </w:tblCellMar>
        </w:tblPrEx>
        <w:trPr>
          <w:trHeight w:val="20" w:hRule="atLeast"/>
        </w:trPr>
        <w:tc>
          <w:tcPr>
            <w:tcW w:w="303" w:type="pct"/>
            <w:vMerge w:val="continue"/>
            <w:tcBorders>
              <w:top w:val="nil"/>
              <w:left w:val="double" w:color="auto" w:sz="4" w:space="0"/>
              <w:bottom w:val="single" w:color="000000" w:sz="4" w:space="0"/>
              <w:right w:val="single" w:color="auto" w:sz="4" w:space="0"/>
            </w:tcBorders>
            <w:vAlign w:val="center"/>
          </w:tcPr>
          <w:p>
            <w:pPr>
              <w:pStyle w:val="19"/>
              <w:rPr>
                <w:sz w:val="24"/>
                <w:szCs w:val="24"/>
              </w:rPr>
            </w:pPr>
          </w:p>
        </w:tc>
        <w:tc>
          <w:tcPr>
            <w:tcW w:w="597" w:type="pct"/>
            <w:vMerge w:val="continue"/>
            <w:tcBorders>
              <w:top w:val="nil"/>
              <w:left w:val="single" w:color="auto" w:sz="4" w:space="0"/>
              <w:bottom w:val="single" w:color="000000" w:sz="4" w:space="0"/>
              <w:right w:val="single" w:color="auto" w:sz="4" w:space="0"/>
            </w:tcBorders>
            <w:vAlign w:val="center"/>
          </w:tcPr>
          <w:p>
            <w:pPr>
              <w:pStyle w:val="19"/>
              <w:rPr>
                <w:sz w:val="24"/>
                <w:szCs w:val="24"/>
              </w:rPr>
            </w:pP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《广东省水利工程管理条例》（2019 年修订）</w:t>
            </w:r>
          </w:p>
        </w:tc>
        <w:tc>
          <w:tcPr>
            <w:tcW w:w="2043"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中型水闸上、下游五十至三百米，两侧宽度三十至五十米</w:t>
            </w:r>
          </w:p>
        </w:tc>
        <w:tc>
          <w:tcPr>
            <w:tcW w:w="1333" w:type="pct"/>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“水库、堤防、水闸和灌区的工程区、生产区的主体建筑物不少于二百米，其他附属建筑物不少于五十米</w:t>
            </w:r>
          </w:p>
        </w:tc>
      </w:tr>
      <w:tr>
        <w:tblPrEx>
          <w:tblCellMar>
            <w:top w:w="0" w:type="dxa"/>
            <w:left w:w="108" w:type="dxa"/>
            <w:bottom w:w="0" w:type="dxa"/>
            <w:right w:w="108" w:type="dxa"/>
          </w:tblCellMar>
        </w:tblPrEx>
        <w:trPr>
          <w:trHeight w:val="20" w:hRule="atLeast"/>
        </w:trPr>
        <w:tc>
          <w:tcPr>
            <w:tcW w:w="303" w:type="pct"/>
            <w:vMerge w:val="continue"/>
            <w:tcBorders>
              <w:top w:val="nil"/>
              <w:left w:val="double" w:color="auto" w:sz="4" w:space="0"/>
              <w:bottom w:val="single" w:color="000000" w:sz="4" w:space="0"/>
              <w:right w:val="single" w:color="auto" w:sz="4" w:space="0"/>
            </w:tcBorders>
            <w:vAlign w:val="center"/>
          </w:tcPr>
          <w:p>
            <w:pPr>
              <w:pStyle w:val="19"/>
              <w:rPr>
                <w:sz w:val="24"/>
                <w:szCs w:val="24"/>
              </w:rPr>
            </w:pPr>
          </w:p>
        </w:tc>
        <w:tc>
          <w:tcPr>
            <w:tcW w:w="597" w:type="pct"/>
            <w:vMerge w:val="continue"/>
            <w:tcBorders>
              <w:top w:val="nil"/>
              <w:left w:val="single" w:color="auto" w:sz="4" w:space="0"/>
              <w:bottom w:val="single" w:color="000000" w:sz="4" w:space="0"/>
              <w:right w:val="single" w:color="auto" w:sz="4" w:space="0"/>
            </w:tcBorders>
            <w:vAlign w:val="center"/>
          </w:tcPr>
          <w:p>
            <w:pPr>
              <w:pStyle w:val="19"/>
              <w:rPr>
                <w:sz w:val="24"/>
                <w:szCs w:val="24"/>
              </w:rPr>
            </w:pP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《广东省水利基础设施空间布局规划辅导材料》</w:t>
            </w:r>
          </w:p>
        </w:tc>
        <w:tc>
          <w:tcPr>
            <w:tcW w:w="3376" w:type="pct"/>
            <w:gridSpan w:val="2"/>
            <w:tcBorders>
              <w:top w:val="nil"/>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采用《水闸设计规范》（SL265-2016）要求</w:t>
            </w:r>
          </w:p>
        </w:tc>
      </w:tr>
      <w:tr>
        <w:tblPrEx>
          <w:tblCellMar>
            <w:top w:w="0" w:type="dxa"/>
            <w:left w:w="108" w:type="dxa"/>
            <w:bottom w:w="0" w:type="dxa"/>
            <w:right w:w="108" w:type="dxa"/>
          </w:tblCellMar>
        </w:tblPrEx>
        <w:trPr>
          <w:trHeight w:val="20" w:hRule="atLeast"/>
        </w:trPr>
        <w:tc>
          <w:tcPr>
            <w:tcW w:w="303" w:type="pct"/>
            <w:tcBorders>
              <w:top w:val="nil"/>
              <w:left w:val="double" w:color="auto" w:sz="4" w:space="0"/>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二</w:t>
            </w:r>
          </w:p>
        </w:tc>
        <w:tc>
          <w:tcPr>
            <w:tcW w:w="597" w:type="pct"/>
            <w:tcBorders>
              <w:top w:val="nil"/>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泵站</w:t>
            </w:r>
          </w:p>
        </w:tc>
        <w:tc>
          <w:tcPr>
            <w:tcW w:w="724" w:type="pct"/>
            <w:tcBorders>
              <w:top w:val="nil"/>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　</w:t>
            </w:r>
          </w:p>
        </w:tc>
        <w:tc>
          <w:tcPr>
            <w:tcW w:w="2043" w:type="pct"/>
            <w:tcBorders>
              <w:top w:val="nil"/>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　</w:t>
            </w:r>
          </w:p>
        </w:tc>
        <w:tc>
          <w:tcPr>
            <w:tcW w:w="1333" w:type="pct"/>
            <w:tcBorders>
              <w:top w:val="nil"/>
              <w:left w:val="nil"/>
              <w:bottom w:val="single" w:color="auto" w:sz="4" w:space="0"/>
              <w:right w:val="double" w:color="auto" w:sz="4" w:space="0"/>
            </w:tcBorders>
            <w:shd w:val="clear" w:color="auto" w:fill="auto"/>
            <w:vAlign w:val="center"/>
          </w:tcPr>
          <w:p>
            <w:pPr>
              <w:pStyle w:val="19"/>
              <w:rPr>
                <w:b/>
                <w:sz w:val="28"/>
                <w:szCs w:val="24"/>
              </w:rPr>
            </w:pPr>
            <w:r>
              <w:rPr>
                <w:rFonts w:hint="eastAsia"/>
                <w:b/>
                <w:sz w:val="28"/>
                <w:szCs w:val="24"/>
              </w:rPr>
              <w:t>　</w:t>
            </w:r>
          </w:p>
        </w:tc>
      </w:tr>
      <w:tr>
        <w:tblPrEx>
          <w:tblCellMar>
            <w:top w:w="0" w:type="dxa"/>
            <w:left w:w="108" w:type="dxa"/>
            <w:bottom w:w="0" w:type="dxa"/>
            <w:right w:w="108" w:type="dxa"/>
          </w:tblCellMar>
        </w:tblPrEx>
        <w:trPr>
          <w:trHeight w:val="20" w:hRule="atLeast"/>
        </w:trPr>
        <w:tc>
          <w:tcPr>
            <w:tcW w:w="900" w:type="pct"/>
            <w:gridSpan w:val="2"/>
            <w:tcBorders>
              <w:top w:val="single" w:color="auto" w:sz="4" w:space="0"/>
              <w:left w:val="double" w:color="auto" w:sz="4" w:space="0"/>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广东省相关规定及要求</w:t>
            </w: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《广东省水利基础设施空间布局规划辅导材料》</w:t>
            </w:r>
          </w:p>
        </w:tc>
        <w:tc>
          <w:tcPr>
            <w:tcW w:w="3376" w:type="pct"/>
            <w:gridSpan w:val="2"/>
            <w:tcBorders>
              <w:top w:val="single" w:color="auto" w:sz="4" w:space="0"/>
              <w:left w:val="nil"/>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参照水闸标准划定</w:t>
            </w:r>
          </w:p>
        </w:tc>
      </w:tr>
      <w:tr>
        <w:tblPrEx>
          <w:tblCellMar>
            <w:top w:w="0" w:type="dxa"/>
            <w:left w:w="108" w:type="dxa"/>
            <w:bottom w:w="0" w:type="dxa"/>
            <w:right w:w="108" w:type="dxa"/>
          </w:tblCellMar>
        </w:tblPrEx>
        <w:trPr>
          <w:trHeight w:val="20" w:hRule="atLeast"/>
        </w:trPr>
        <w:tc>
          <w:tcPr>
            <w:tcW w:w="303" w:type="pct"/>
            <w:tcBorders>
              <w:top w:val="nil"/>
              <w:left w:val="double" w:color="auto" w:sz="4" w:space="0"/>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1</w:t>
            </w:r>
          </w:p>
        </w:tc>
        <w:tc>
          <w:tcPr>
            <w:tcW w:w="597"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大型泵站</w:t>
            </w:r>
          </w:p>
        </w:tc>
        <w:tc>
          <w:tcPr>
            <w:tcW w:w="724" w:type="pct"/>
            <w:vMerge w:val="restart"/>
            <w:tcBorders>
              <w:top w:val="nil"/>
              <w:left w:val="single" w:color="auto" w:sz="4" w:space="0"/>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安徽省、浙江省等各类水工程管理范围、保护范围的法定标准和指导标准</w:t>
            </w:r>
          </w:p>
        </w:tc>
        <w:tc>
          <w:tcPr>
            <w:tcW w:w="2043"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前池进水口外50米，降压泵站四轴50米地带</w:t>
            </w:r>
          </w:p>
        </w:tc>
        <w:tc>
          <w:tcPr>
            <w:tcW w:w="1333" w:type="pct"/>
            <w:vMerge w:val="restart"/>
            <w:tcBorders>
              <w:top w:val="nil"/>
              <w:left w:val="single" w:color="auto" w:sz="4" w:space="0"/>
              <w:bottom w:val="single" w:color="auto" w:sz="4" w:space="0"/>
              <w:right w:val="double" w:color="auto" w:sz="4" w:space="0"/>
            </w:tcBorders>
            <w:shd w:val="clear" w:color="auto" w:fill="auto"/>
            <w:vAlign w:val="center"/>
          </w:tcPr>
          <w:p>
            <w:pPr>
              <w:pStyle w:val="19"/>
              <w:rPr>
                <w:sz w:val="24"/>
                <w:szCs w:val="24"/>
              </w:rPr>
            </w:pPr>
            <w:r>
              <w:rPr>
                <w:rFonts w:hint="eastAsia"/>
                <w:sz w:val="24"/>
                <w:szCs w:val="24"/>
              </w:rPr>
              <w:t>管理范围以外如有影响水闸、泵站安全的爆破等作业，根据实际情况划定保护范围</w:t>
            </w:r>
          </w:p>
        </w:tc>
      </w:tr>
      <w:tr>
        <w:tblPrEx>
          <w:tblCellMar>
            <w:top w:w="0" w:type="dxa"/>
            <w:left w:w="108" w:type="dxa"/>
            <w:bottom w:w="0" w:type="dxa"/>
            <w:right w:w="108" w:type="dxa"/>
          </w:tblCellMar>
        </w:tblPrEx>
        <w:trPr>
          <w:trHeight w:val="20" w:hRule="atLeast"/>
        </w:trPr>
        <w:tc>
          <w:tcPr>
            <w:tcW w:w="303" w:type="pct"/>
            <w:tcBorders>
              <w:top w:val="nil"/>
              <w:left w:val="double" w:color="auto" w:sz="4" w:space="0"/>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2</w:t>
            </w:r>
          </w:p>
        </w:tc>
        <w:tc>
          <w:tcPr>
            <w:tcW w:w="597"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中型泵站</w:t>
            </w:r>
          </w:p>
        </w:tc>
        <w:tc>
          <w:tcPr>
            <w:tcW w:w="724" w:type="pct"/>
            <w:vMerge w:val="continue"/>
            <w:tcBorders>
              <w:top w:val="nil"/>
              <w:left w:val="single" w:color="auto" w:sz="4" w:space="0"/>
              <w:bottom w:val="single" w:color="auto" w:sz="4" w:space="0"/>
              <w:right w:val="single" w:color="auto" w:sz="4" w:space="0"/>
            </w:tcBorders>
            <w:vAlign w:val="center"/>
          </w:tcPr>
          <w:p>
            <w:pPr>
              <w:pStyle w:val="19"/>
              <w:rPr>
                <w:sz w:val="24"/>
                <w:szCs w:val="24"/>
              </w:rPr>
            </w:pPr>
          </w:p>
        </w:tc>
        <w:tc>
          <w:tcPr>
            <w:tcW w:w="2043"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前池进水口外25米，降压泵站四轴25米地带</w:t>
            </w:r>
          </w:p>
        </w:tc>
        <w:tc>
          <w:tcPr>
            <w:tcW w:w="1333" w:type="pct"/>
            <w:vMerge w:val="continue"/>
            <w:tcBorders>
              <w:top w:val="nil"/>
              <w:left w:val="single" w:color="auto" w:sz="4" w:space="0"/>
              <w:bottom w:val="single" w:color="auto" w:sz="4" w:space="0"/>
              <w:right w:val="double" w:color="auto" w:sz="4" w:space="0"/>
            </w:tcBorders>
            <w:vAlign w:val="center"/>
          </w:tcPr>
          <w:p>
            <w:pPr>
              <w:pStyle w:val="19"/>
              <w:rPr>
                <w:sz w:val="24"/>
                <w:szCs w:val="24"/>
              </w:rPr>
            </w:pPr>
          </w:p>
        </w:tc>
      </w:tr>
      <w:tr>
        <w:tblPrEx>
          <w:tblCellMar>
            <w:top w:w="0" w:type="dxa"/>
            <w:left w:w="108" w:type="dxa"/>
            <w:bottom w:w="0" w:type="dxa"/>
            <w:right w:w="108" w:type="dxa"/>
          </w:tblCellMar>
        </w:tblPrEx>
        <w:trPr>
          <w:trHeight w:val="20" w:hRule="atLeast"/>
        </w:trPr>
        <w:tc>
          <w:tcPr>
            <w:tcW w:w="303" w:type="pct"/>
            <w:tcBorders>
              <w:top w:val="nil"/>
              <w:left w:val="double" w:color="auto" w:sz="4" w:space="0"/>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三</w:t>
            </w:r>
          </w:p>
        </w:tc>
        <w:tc>
          <w:tcPr>
            <w:tcW w:w="597" w:type="pct"/>
            <w:tcBorders>
              <w:top w:val="nil"/>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堤防</w:t>
            </w:r>
          </w:p>
        </w:tc>
        <w:tc>
          <w:tcPr>
            <w:tcW w:w="724" w:type="pct"/>
            <w:tcBorders>
              <w:top w:val="nil"/>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　</w:t>
            </w:r>
          </w:p>
        </w:tc>
        <w:tc>
          <w:tcPr>
            <w:tcW w:w="2043" w:type="pct"/>
            <w:tcBorders>
              <w:top w:val="nil"/>
              <w:left w:val="nil"/>
              <w:bottom w:val="single" w:color="auto" w:sz="4" w:space="0"/>
              <w:right w:val="single" w:color="auto" w:sz="4" w:space="0"/>
            </w:tcBorders>
            <w:shd w:val="clear" w:color="auto" w:fill="auto"/>
            <w:vAlign w:val="center"/>
          </w:tcPr>
          <w:p>
            <w:pPr>
              <w:pStyle w:val="19"/>
              <w:rPr>
                <w:b/>
                <w:sz w:val="28"/>
                <w:szCs w:val="24"/>
              </w:rPr>
            </w:pPr>
            <w:r>
              <w:rPr>
                <w:rFonts w:hint="eastAsia"/>
                <w:b/>
                <w:sz w:val="28"/>
                <w:szCs w:val="24"/>
              </w:rPr>
              <w:t>　</w:t>
            </w:r>
          </w:p>
        </w:tc>
        <w:tc>
          <w:tcPr>
            <w:tcW w:w="1333" w:type="pct"/>
            <w:tcBorders>
              <w:top w:val="nil"/>
              <w:left w:val="nil"/>
              <w:bottom w:val="single" w:color="auto" w:sz="4" w:space="0"/>
              <w:right w:val="double" w:color="auto" w:sz="4" w:space="0"/>
            </w:tcBorders>
            <w:shd w:val="clear" w:color="auto" w:fill="auto"/>
            <w:vAlign w:val="center"/>
          </w:tcPr>
          <w:p>
            <w:pPr>
              <w:pStyle w:val="19"/>
              <w:rPr>
                <w:b/>
                <w:sz w:val="28"/>
                <w:szCs w:val="24"/>
              </w:rPr>
            </w:pPr>
            <w:r>
              <w:rPr>
                <w:rFonts w:hint="eastAsia"/>
                <w:b/>
                <w:sz w:val="28"/>
                <w:szCs w:val="24"/>
              </w:rPr>
              <w:t>　</w:t>
            </w:r>
          </w:p>
        </w:tc>
      </w:tr>
      <w:tr>
        <w:tblPrEx>
          <w:tblCellMar>
            <w:top w:w="0" w:type="dxa"/>
            <w:left w:w="108" w:type="dxa"/>
            <w:bottom w:w="0" w:type="dxa"/>
            <w:right w:w="108" w:type="dxa"/>
          </w:tblCellMar>
        </w:tblPrEx>
        <w:trPr>
          <w:trHeight w:val="20" w:hRule="atLeast"/>
        </w:trPr>
        <w:tc>
          <w:tcPr>
            <w:tcW w:w="900" w:type="pct"/>
            <w:gridSpan w:val="2"/>
            <w:vMerge w:val="restart"/>
            <w:tcBorders>
              <w:top w:val="single" w:color="auto" w:sz="4" w:space="0"/>
              <w:left w:val="double" w:color="auto" w:sz="4" w:space="0"/>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一般规定</w:t>
            </w: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《堤防工程管理设计规范》（SL170-96）</w:t>
            </w:r>
          </w:p>
        </w:tc>
        <w:tc>
          <w:tcPr>
            <w:tcW w:w="2043" w:type="pct"/>
            <w:tcBorders>
              <w:top w:val="nil"/>
              <w:left w:val="nil"/>
              <w:bottom w:val="single" w:color="auto" w:sz="4" w:space="0"/>
              <w:right w:val="single" w:color="auto" w:sz="4" w:space="0"/>
            </w:tcBorders>
            <w:shd w:val="clear" w:color="auto" w:fill="auto"/>
            <w:vAlign w:val="center"/>
          </w:tcPr>
          <w:p>
            <w:pPr>
              <w:pStyle w:val="19"/>
              <w:jc w:val="left"/>
              <w:rPr>
                <w:sz w:val="24"/>
                <w:szCs w:val="24"/>
              </w:rPr>
            </w:pPr>
            <w:r>
              <w:rPr>
                <w:rFonts w:hint="eastAsia"/>
                <w:sz w:val="24"/>
                <w:szCs w:val="24"/>
              </w:rPr>
              <w:t>堤防工程的管理范围，一般应包括以下工程和设施的建筑场地和管理用地：</w:t>
            </w:r>
            <w:r>
              <w:rPr>
                <w:rFonts w:hint="eastAsia"/>
                <w:sz w:val="24"/>
                <w:szCs w:val="24"/>
              </w:rPr>
              <w:br w:type="textWrapping"/>
            </w:r>
            <w:r>
              <w:rPr>
                <w:rFonts w:hint="eastAsia"/>
                <w:sz w:val="24"/>
                <w:szCs w:val="24"/>
              </w:rPr>
              <w:t>（1）堤身、堤内外戗堤，防渗导渗工程及堤内、外护堤地。</w:t>
            </w:r>
            <w:r>
              <w:rPr>
                <w:rFonts w:hint="eastAsia"/>
                <w:sz w:val="24"/>
                <w:szCs w:val="24"/>
              </w:rPr>
              <w:br w:type="textWrapping"/>
            </w:r>
            <w:r>
              <w:rPr>
                <w:rFonts w:hint="eastAsia"/>
                <w:sz w:val="24"/>
                <w:szCs w:val="24"/>
              </w:rPr>
              <w:t>（2）穿堤、跨堤交叉建筑物；包括各类水闸、船闸、桥涵、泵站、鱼道、伐道、道口、码头等。</w:t>
            </w:r>
            <w:r>
              <w:rPr>
                <w:rFonts w:hint="eastAsia"/>
                <w:sz w:val="24"/>
                <w:szCs w:val="24"/>
              </w:rPr>
              <w:br w:type="textWrapping"/>
            </w:r>
            <w:r>
              <w:rPr>
                <w:rFonts w:hint="eastAsia"/>
                <w:sz w:val="24"/>
                <w:szCs w:val="24"/>
              </w:rPr>
              <w:t>（3）附属工程设施；包括观测、交通、通信设施、测量控制标点、护堤哨所、界碑里程碑及其他维护管理设施。</w:t>
            </w:r>
            <w:r>
              <w:rPr>
                <w:rFonts w:hint="eastAsia"/>
                <w:sz w:val="24"/>
                <w:szCs w:val="24"/>
              </w:rPr>
              <w:br w:type="textWrapping"/>
            </w:r>
            <w:r>
              <w:rPr>
                <w:rFonts w:hint="eastAsia"/>
                <w:sz w:val="24"/>
                <w:szCs w:val="24"/>
              </w:rPr>
              <w:t>（4）护岸控导工程包括各类立式和坡式护岸建筑物，如丁坝、顺坝、坝垛、石矾等。</w:t>
            </w:r>
            <w:r>
              <w:rPr>
                <w:rFonts w:hint="eastAsia"/>
                <w:sz w:val="24"/>
                <w:szCs w:val="24"/>
              </w:rPr>
              <w:br w:type="textWrapping"/>
            </w:r>
            <w:r>
              <w:rPr>
                <w:rFonts w:hint="eastAsia"/>
                <w:sz w:val="24"/>
                <w:szCs w:val="24"/>
              </w:rPr>
              <w:t>（5）综合开发经营生产基地。</w:t>
            </w:r>
            <w:r>
              <w:rPr>
                <w:rFonts w:hint="eastAsia"/>
                <w:sz w:val="24"/>
                <w:szCs w:val="24"/>
              </w:rPr>
              <w:br w:type="textWrapping"/>
            </w:r>
            <w:r>
              <w:rPr>
                <w:rFonts w:hint="eastAsia"/>
                <w:sz w:val="24"/>
                <w:szCs w:val="24"/>
              </w:rPr>
              <w:t>（6）管理单位生产、生活区建筑：包括办公用房屋、设备材料仓库、维修生产车间、砂石料堆场、职工住宅及其他生产生活福利设施。</w:t>
            </w:r>
            <w:r>
              <w:rPr>
                <w:rFonts w:hint="eastAsia"/>
                <w:sz w:val="24"/>
                <w:szCs w:val="24"/>
              </w:rPr>
              <w:br w:type="textWrapping"/>
            </w:r>
            <w:r>
              <w:rPr>
                <w:rFonts w:hint="eastAsia"/>
                <w:sz w:val="24"/>
                <w:szCs w:val="24"/>
              </w:rPr>
              <w:t>护堤地范围，应根据工程级别并结合当地的自然条件、历史习惯和土地资源开发利用等情况进行综合分析确定：</w:t>
            </w:r>
            <w:r>
              <w:rPr>
                <w:rFonts w:hint="eastAsia"/>
                <w:sz w:val="24"/>
                <w:szCs w:val="24"/>
              </w:rPr>
              <w:br w:type="textWrapping"/>
            </w:r>
            <w:r>
              <w:rPr>
                <w:rFonts w:hint="eastAsia"/>
                <w:sz w:val="24"/>
                <w:szCs w:val="24"/>
              </w:rPr>
              <w:t>（1）护堤地的顺堤向布置应与堤防走向一致；</w:t>
            </w:r>
            <w:r>
              <w:rPr>
                <w:rFonts w:hint="eastAsia"/>
                <w:sz w:val="24"/>
                <w:szCs w:val="24"/>
              </w:rPr>
              <w:br w:type="textWrapping"/>
            </w:r>
            <w:r>
              <w:rPr>
                <w:rFonts w:hint="eastAsia"/>
                <w:sz w:val="24"/>
                <w:szCs w:val="24"/>
              </w:rPr>
              <w:t>（2）护堤地横向宽度，应与堤防内外坡脚线开始起算；</w:t>
            </w:r>
            <w:r>
              <w:rPr>
                <w:rFonts w:hint="eastAsia"/>
                <w:sz w:val="24"/>
                <w:szCs w:val="24"/>
              </w:rPr>
              <w:br w:type="textWrapping"/>
            </w:r>
            <w:r>
              <w:rPr>
                <w:rFonts w:hint="eastAsia"/>
                <w:sz w:val="24"/>
                <w:szCs w:val="24"/>
              </w:rPr>
              <w:t>（3）堤内、外护堤地宽度，参照规范确定；</w:t>
            </w:r>
            <w:r>
              <w:rPr>
                <w:rFonts w:hint="eastAsia"/>
                <w:sz w:val="24"/>
                <w:szCs w:val="24"/>
              </w:rPr>
              <w:br w:type="textWrapping"/>
            </w:r>
            <w:r>
              <w:rPr>
                <w:rFonts w:hint="eastAsia"/>
                <w:sz w:val="24"/>
                <w:szCs w:val="24"/>
              </w:rPr>
              <w:t>（4）堤防工程首尾端护堤地纵向延伸长度，应根据地形特点适当延伸，一般可参照相应护堤地的横向宽度确定。</w:t>
            </w:r>
            <w:r>
              <w:rPr>
                <w:rFonts w:hint="eastAsia"/>
                <w:sz w:val="24"/>
                <w:szCs w:val="24"/>
              </w:rPr>
              <w:br w:type="textWrapping"/>
            </w:r>
            <w:r>
              <w:rPr>
                <w:rFonts w:hint="eastAsia"/>
                <w:sz w:val="24"/>
                <w:szCs w:val="24"/>
              </w:rPr>
              <w:t>（5）特别重要的堤防工程或重点险工险段，根据工程安全和管理运用需要，可适当扩大护堤地范围。</w:t>
            </w:r>
            <w:r>
              <w:rPr>
                <w:rFonts w:hint="eastAsia"/>
                <w:sz w:val="24"/>
                <w:szCs w:val="24"/>
              </w:rPr>
              <w:br w:type="textWrapping"/>
            </w:r>
            <w:r>
              <w:rPr>
                <w:rFonts w:hint="eastAsia"/>
                <w:sz w:val="24"/>
                <w:szCs w:val="24"/>
              </w:rPr>
              <w:t>（6）海堤工程的护堤地范围，一般临海一侧的护堤地宽度为100~200m；背海一侧的护堤地宽度为20~50m。背海侧顺堤向挖有海堤河的，护堤地宽度应以海堤河为界。</w:t>
            </w:r>
            <w:r>
              <w:rPr>
                <w:rFonts w:hint="eastAsia"/>
                <w:sz w:val="24"/>
                <w:szCs w:val="24"/>
              </w:rPr>
              <w:br w:type="textWrapping"/>
            </w:r>
            <w:r>
              <w:rPr>
                <w:rFonts w:hint="eastAsia"/>
                <w:sz w:val="24"/>
                <w:szCs w:val="24"/>
              </w:rPr>
              <w:t>（7）城市堤防工程的护堤地宽度，在保证工程安全和管理运用方便的前提下，可根据城区土地利用情况，对规定的数值进行适当调整。</w:t>
            </w:r>
          </w:p>
        </w:tc>
        <w:tc>
          <w:tcPr>
            <w:tcW w:w="1333" w:type="pct"/>
            <w:tcBorders>
              <w:top w:val="nil"/>
              <w:left w:val="nil"/>
              <w:bottom w:val="single" w:color="auto" w:sz="4" w:space="0"/>
              <w:right w:val="double" w:color="auto" w:sz="4" w:space="0"/>
            </w:tcBorders>
            <w:shd w:val="clear" w:color="auto" w:fill="auto"/>
            <w:vAlign w:val="center"/>
          </w:tcPr>
          <w:p>
            <w:pPr>
              <w:pStyle w:val="19"/>
              <w:jc w:val="left"/>
              <w:rPr>
                <w:sz w:val="24"/>
                <w:szCs w:val="24"/>
              </w:rPr>
            </w:pPr>
            <w:r>
              <w:rPr>
                <w:rFonts w:hint="eastAsia"/>
                <w:sz w:val="24"/>
                <w:szCs w:val="24"/>
              </w:rPr>
              <w:t>在堤防工程背水侧紧邻护堤地边界线以外，应划定一定的区域，作为工程保护范围。</w:t>
            </w:r>
            <w:r>
              <w:rPr>
                <w:rFonts w:hint="eastAsia"/>
                <w:sz w:val="24"/>
                <w:szCs w:val="24"/>
              </w:rPr>
              <w:br w:type="textWrapping"/>
            </w:r>
            <w:r>
              <w:rPr>
                <w:rFonts w:hint="eastAsia"/>
                <w:sz w:val="24"/>
                <w:szCs w:val="24"/>
              </w:rPr>
              <w:t>堤防工程临水侧的保护范围，应按照国家颁布的《河通管理条例》有关规定执行.</w:t>
            </w:r>
          </w:p>
        </w:tc>
      </w:tr>
      <w:tr>
        <w:tblPrEx>
          <w:tblCellMar>
            <w:top w:w="0" w:type="dxa"/>
            <w:left w:w="108" w:type="dxa"/>
            <w:bottom w:w="0" w:type="dxa"/>
            <w:right w:w="108" w:type="dxa"/>
          </w:tblCellMar>
        </w:tblPrEx>
        <w:trPr>
          <w:trHeight w:val="20" w:hRule="atLeast"/>
        </w:trPr>
        <w:tc>
          <w:tcPr>
            <w:tcW w:w="900" w:type="pct"/>
            <w:gridSpan w:val="2"/>
            <w:vMerge w:val="continue"/>
            <w:tcBorders>
              <w:top w:val="single" w:color="auto" w:sz="4" w:space="0"/>
              <w:left w:val="double" w:color="auto" w:sz="4" w:space="0"/>
              <w:bottom w:val="single" w:color="auto" w:sz="4" w:space="0"/>
              <w:right w:val="single" w:color="auto" w:sz="4" w:space="0"/>
            </w:tcBorders>
            <w:vAlign w:val="center"/>
          </w:tcPr>
          <w:p>
            <w:pPr>
              <w:pStyle w:val="19"/>
              <w:rPr>
                <w:sz w:val="24"/>
                <w:szCs w:val="24"/>
              </w:rPr>
            </w:pP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《堤防工程设计规范》（GB502856-2013）</w:t>
            </w:r>
          </w:p>
        </w:tc>
        <w:tc>
          <w:tcPr>
            <w:tcW w:w="2043" w:type="pct"/>
            <w:tcBorders>
              <w:top w:val="nil"/>
              <w:left w:val="nil"/>
              <w:bottom w:val="single" w:color="auto" w:sz="4" w:space="0"/>
              <w:right w:val="single" w:color="auto" w:sz="4" w:space="0"/>
            </w:tcBorders>
            <w:shd w:val="clear" w:color="auto" w:fill="auto"/>
            <w:vAlign w:val="center"/>
          </w:tcPr>
          <w:p>
            <w:pPr>
              <w:pStyle w:val="19"/>
              <w:jc w:val="left"/>
              <w:rPr>
                <w:sz w:val="24"/>
                <w:szCs w:val="24"/>
              </w:rPr>
            </w:pPr>
            <w:r>
              <w:rPr>
                <w:rFonts w:hint="eastAsia"/>
                <w:sz w:val="24"/>
                <w:szCs w:val="24"/>
              </w:rPr>
              <w:t>堤防工程管理范围应包括下列工程和设施的建筑场地和管理用地：</w:t>
            </w:r>
            <w:r>
              <w:rPr>
                <w:rFonts w:hint="eastAsia"/>
                <w:sz w:val="24"/>
                <w:szCs w:val="24"/>
              </w:rPr>
              <w:br w:type="textWrapping"/>
            </w:r>
            <w:r>
              <w:rPr>
                <w:rFonts w:hint="eastAsia"/>
                <w:sz w:val="24"/>
                <w:szCs w:val="24"/>
              </w:rPr>
              <w:t>1、堤身及防渗导渗工程。</w:t>
            </w:r>
            <w:r>
              <w:rPr>
                <w:rFonts w:hint="eastAsia"/>
                <w:sz w:val="24"/>
                <w:szCs w:val="24"/>
              </w:rPr>
              <w:br w:type="textWrapping"/>
            </w:r>
            <w:r>
              <w:rPr>
                <w:rFonts w:hint="eastAsia"/>
                <w:sz w:val="24"/>
                <w:szCs w:val="24"/>
              </w:rPr>
              <w:t xml:space="preserve">2、堤临、背水侧护堤地。 </w:t>
            </w:r>
            <w:r>
              <w:rPr>
                <w:rFonts w:hint="eastAsia"/>
                <w:sz w:val="24"/>
                <w:szCs w:val="24"/>
              </w:rPr>
              <w:br w:type="textWrapping"/>
            </w:r>
            <w:r>
              <w:rPr>
                <w:rFonts w:hint="eastAsia"/>
                <w:sz w:val="24"/>
                <w:szCs w:val="24"/>
              </w:rPr>
              <w:t>3、穿堤、跨堤交叉建筑物。</w:t>
            </w:r>
            <w:r>
              <w:rPr>
                <w:rFonts w:hint="eastAsia"/>
                <w:sz w:val="24"/>
                <w:szCs w:val="24"/>
              </w:rPr>
              <w:br w:type="textWrapping"/>
            </w:r>
            <w:r>
              <w:rPr>
                <w:rFonts w:hint="eastAsia"/>
                <w:sz w:val="24"/>
                <w:szCs w:val="24"/>
              </w:rPr>
              <w:t>4、监测、交通、通信等附属工程设施。</w:t>
            </w:r>
            <w:r>
              <w:rPr>
                <w:rFonts w:hint="eastAsia"/>
                <w:sz w:val="24"/>
                <w:szCs w:val="24"/>
              </w:rPr>
              <w:br w:type="textWrapping"/>
            </w:r>
            <w:r>
              <w:rPr>
                <w:rFonts w:hint="eastAsia"/>
                <w:sz w:val="24"/>
                <w:szCs w:val="24"/>
              </w:rPr>
              <w:t>5、护岸工程。</w:t>
            </w:r>
            <w:r>
              <w:rPr>
                <w:rFonts w:hint="eastAsia"/>
                <w:sz w:val="24"/>
                <w:szCs w:val="24"/>
              </w:rPr>
              <w:br w:type="textWrapping"/>
            </w:r>
            <w:r>
              <w:rPr>
                <w:rFonts w:hint="eastAsia"/>
                <w:sz w:val="24"/>
                <w:szCs w:val="24"/>
              </w:rPr>
              <w:t>6、管理单位生产、生活区。</w:t>
            </w:r>
            <w:r>
              <w:rPr>
                <w:rFonts w:hint="eastAsia"/>
                <w:sz w:val="24"/>
                <w:szCs w:val="24"/>
              </w:rPr>
              <w:br w:type="textWrapping"/>
            </w:r>
            <w:r>
              <w:rPr>
                <w:rFonts w:hint="eastAsia"/>
                <w:sz w:val="24"/>
                <w:szCs w:val="24"/>
              </w:rPr>
              <w:t>护堤地宽度应从堤脚计起，并应根据工程级别结合当地的自然条件、历史习惯和土地资源开发利用等情况综合分析确定。背水侧护堤地宽度可结合河道管理需要及工程实际情况确定。大江大河重要堤防、城市防洪堤、重点险工险段的堤背水侧护堤地宽度，可根据具体情况调整确定。</w:t>
            </w:r>
          </w:p>
        </w:tc>
        <w:tc>
          <w:tcPr>
            <w:tcW w:w="1333" w:type="pct"/>
            <w:tcBorders>
              <w:top w:val="nil"/>
              <w:left w:val="nil"/>
              <w:bottom w:val="single" w:color="auto" w:sz="4" w:space="0"/>
              <w:right w:val="double" w:color="auto" w:sz="4" w:space="0"/>
            </w:tcBorders>
            <w:shd w:val="clear" w:color="auto" w:fill="auto"/>
            <w:vAlign w:val="center"/>
          </w:tcPr>
          <w:p>
            <w:pPr>
              <w:pStyle w:val="19"/>
              <w:jc w:val="left"/>
              <w:rPr>
                <w:sz w:val="24"/>
                <w:szCs w:val="24"/>
              </w:rPr>
            </w:pPr>
            <w:r>
              <w:rPr>
                <w:rFonts w:hint="eastAsia"/>
                <w:sz w:val="24"/>
                <w:szCs w:val="24"/>
              </w:rPr>
              <w:t>堤防工程保护范围的宽度应自背水侧紧临保护堤地边界线计起，根据工程等别确定；临水侧宽度可结合河道管理需要及工程实际情况确定。</w:t>
            </w:r>
            <w:r>
              <w:rPr>
                <w:rFonts w:hint="eastAsia"/>
                <w:sz w:val="24"/>
                <w:szCs w:val="24"/>
              </w:rPr>
              <w:br w:type="textWrapping"/>
            </w:r>
            <w:r>
              <w:rPr>
                <w:rFonts w:hint="eastAsia"/>
                <w:sz w:val="24"/>
                <w:szCs w:val="24"/>
              </w:rPr>
              <w:t>在堤防的保护范围内不得从事开挖土方、打井、爆破等危害工程安全的活动</w:t>
            </w:r>
          </w:p>
        </w:tc>
      </w:tr>
      <w:tr>
        <w:tblPrEx>
          <w:tblCellMar>
            <w:top w:w="0" w:type="dxa"/>
            <w:left w:w="108" w:type="dxa"/>
            <w:bottom w:w="0" w:type="dxa"/>
            <w:right w:w="108" w:type="dxa"/>
          </w:tblCellMar>
        </w:tblPrEx>
        <w:trPr>
          <w:trHeight w:val="20" w:hRule="atLeast"/>
        </w:trPr>
        <w:tc>
          <w:tcPr>
            <w:tcW w:w="900" w:type="pct"/>
            <w:gridSpan w:val="2"/>
            <w:tcBorders>
              <w:top w:val="single" w:color="auto" w:sz="4" w:space="0"/>
              <w:left w:val="double" w:color="auto" w:sz="4" w:space="0"/>
              <w:bottom w:val="single" w:color="000000" w:sz="4" w:space="0"/>
              <w:right w:val="single" w:color="000000" w:sz="4" w:space="0"/>
            </w:tcBorders>
            <w:shd w:val="clear" w:color="auto" w:fill="auto"/>
            <w:vAlign w:val="center"/>
          </w:tcPr>
          <w:p>
            <w:pPr>
              <w:pStyle w:val="19"/>
              <w:rPr>
                <w:sz w:val="24"/>
                <w:szCs w:val="24"/>
              </w:rPr>
            </w:pPr>
            <w:r>
              <w:rPr>
                <w:rFonts w:hint="eastAsia"/>
                <w:sz w:val="24"/>
                <w:szCs w:val="24"/>
              </w:rPr>
              <w:t>广东省相关规定及要求</w:t>
            </w:r>
          </w:p>
        </w:tc>
        <w:tc>
          <w:tcPr>
            <w:tcW w:w="724" w:type="pct"/>
            <w:tcBorders>
              <w:top w:val="nil"/>
              <w:left w:val="nil"/>
              <w:bottom w:val="single" w:color="auto" w:sz="4" w:space="0"/>
              <w:right w:val="single" w:color="auto" w:sz="4" w:space="0"/>
            </w:tcBorders>
            <w:shd w:val="clear" w:color="auto" w:fill="auto"/>
            <w:vAlign w:val="center"/>
          </w:tcPr>
          <w:p>
            <w:pPr>
              <w:pStyle w:val="19"/>
              <w:rPr>
                <w:sz w:val="24"/>
                <w:szCs w:val="24"/>
              </w:rPr>
            </w:pPr>
            <w:r>
              <w:rPr>
                <w:rFonts w:hint="eastAsia"/>
                <w:sz w:val="24"/>
                <w:szCs w:val="24"/>
              </w:rPr>
              <w:t>《广东省水利工程管理条例》（2019 年修订）</w:t>
            </w:r>
          </w:p>
        </w:tc>
        <w:tc>
          <w:tcPr>
            <w:tcW w:w="2043" w:type="pct"/>
            <w:tcBorders>
              <w:top w:val="nil"/>
              <w:left w:val="nil"/>
              <w:bottom w:val="single" w:color="auto" w:sz="4" w:space="0"/>
              <w:right w:val="single" w:color="auto" w:sz="4" w:space="0"/>
            </w:tcBorders>
            <w:shd w:val="clear" w:color="auto" w:fill="auto"/>
            <w:vAlign w:val="center"/>
          </w:tcPr>
          <w:p>
            <w:pPr>
              <w:pStyle w:val="19"/>
              <w:jc w:val="left"/>
              <w:rPr>
                <w:sz w:val="24"/>
                <w:szCs w:val="24"/>
              </w:rPr>
            </w:pPr>
            <w:r>
              <w:rPr>
                <w:rFonts w:hint="eastAsia"/>
                <w:sz w:val="24"/>
                <w:szCs w:val="24"/>
              </w:rPr>
              <w:t>堤防管理范围包括“工程区：主要建筑物占地范围及其周边：西江、北江、东江、韩江干流的堤防和捍卫重要城镇或五万亩以上农田的其他江海堤防，从内、外坡堤脚算起每侧三十至五十米；捍卫一万亩至五万亩农田的堤防，从内、外坡堤脚算起每侧二十至三十米”。</w:t>
            </w:r>
          </w:p>
        </w:tc>
        <w:tc>
          <w:tcPr>
            <w:tcW w:w="1333" w:type="pct"/>
            <w:tcBorders>
              <w:top w:val="nil"/>
              <w:left w:val="nil"/>
              <w:bottom w:val="single" w:color="auto" w:sz="4" w:space="0"/>
              <w:right w:val="double" w:color="auto" w:sz="4" w:space="0"/>
            </w:tcBorders>
            <w:shd w:val="clear" w:color="auto" w:fill="auto"/>
            <w:vAlign w:val="center"/>
          </w:tcPr>
          <w:p>
            <w:pPr>
              <w:pStyle w:val="19"/>
              <w:jc w:val="left"/>
              <w:rPr>
                <w:sz w:val="24"/>
                <w:szCs w:val="24"/>
              </w:rPr>
            </w:pPr>
            <w:r>
              <w:rPr>
                <w:rFonts w:hint="eastAsia"/>
                <w:sz w:val="24"/>
                <w:szCs w:val="24"/>
              </w:rPr>
              <w:t>保护范围在水利工程管理范围边界外延，外延标准为“水库、堤防、水闸和灌区的工程区、生产区的主体建筑物不少于二百米，其他附属建筑物不少于五十米；库区水库坝址上游坝顶高程线或者土地征用线以上至第一道分水岭脊之间的土地；大型渠道十五至二十，中型渠道十至十五米，小型渠道五至十米”</w:t>
            </w:r>
          </w:p>
        </w:tc>
      </w:tr>
    </w:tbl>
    <w:p>
      <w:pPr>
        <w:ind w:firstLine="562"/>
        <w:outlineLvl w:val="1"/>
        <w:rPr>
          <w:b/>
          <w:sz w:val="28"/>
        </w:rPr>
      </w:pPr>
      <w:bookmarkStart w:id="13" w:name="_Toc57638891"/>
      <w:r>
        <w:rPr>
          <w:b/>
          <w:sz w:val="28"/>
        </w:rPr>
        <w:t>3</w:t>
      </w:r>
      <w:r>
        <w:rPr>
          <w:rFonts w:hint="eastAsia"/>
          <w:b/>
          <w:sz w:val="28"/>
        </w:rPr>
        <w:t>、</w:t>
      </w:r>
      <w:r>
        <w:rPr>
          <w:b/>
          <w:sz w:val="28"/>
        </w:rPr>
        <w:t>划</w:t>
      </w:r>
      <w:r>
        <w:rPr>
          <w:rFonts w:hint="eastAsia"/>
          <w:b/>
          <w:sz w:val="28"/>
        </w:rPr>
        <w:t>定方法</w:t>
      </w:r>
      <w:bookmarkEnd w:id="13"/>
    </w:p>
    <w:p>
      <w:pPr>
        <w:ind w:firstLine="562"/>
        <w:rPr>
          <w:b/>
          <w:sz w:val="28"/>
        </w:rPr>
      </w:pPr>
      <w:r>
        <w:rPr>
          <w:rFonts w:hint="eastAsia"/>
          <w:b/>
          <w:sz w:val="28"/>
        </w:rPr>
        <w:t>（1）划定</w:t>
      </w:r>
      <w:r>
        <w:rPr>
          <w:b/>
          <w:sz w:val="28"/>
        </w:rPr>
        <w:t>步骤</w:t>
      </w:r>
    </w:p>
    <w:p>
      <w:pPr>
        <w:ind w:firstLine="560"/>
        <w:rPr>
          <w:sz w:val="28"/>
        </w:rPr>
      </w:pPr>
      <w:r>
        <w:rPr>
          <w:rFonts w:hint="eastAsia"/>
          <w:sz w:val="28"/>
        </w:rPr>
        <w:t>1）通过广州市水普资料</w:t>
      </w:r>
      <w:r>
        <w:rPr>
          <w:sz w:val="28"/>
        </w:rPr>
        <w:t>、</w:t>
      </w:r>
      <w:r>
        <w:rPr>
          <w:rFonts w:hint="eastAsia"/>
          <w:sz w:val="28"/>
        </w:rPr>
        <w:t>《水利水电工程等级划分及洪水标准（SL252-2017）》、《泵站设计规范（GB 50265-2010）》</w:t>
      </w:r>
      <w:r>
        <w:rPr>
          <w:sz w:val="28"/>
        </w:rPr>
        <w:t>等</w:t>
      </w:r>
      <w:r>
        <w:rPr>
          <w:rFonts w:hint="eastAsia"/>
          <w:sz w:val="28"/>
        </w:rPr>
        <w:t>确定水闸</w:t>
      </w:r>
      <w:r>
        <w:rPr>
          <w:sz w:val="28"/>
        </w:rPr>
        <w:t>、泵站、</w:t>
      </w:r>
      <w:r>
        <w:rPr>
          <w:rFonts w:hint="eastAsia"/>
          <w:sz w:val="28"/>
        </w:rPr>
        <w:t>堤防</w:t>
      </w:r>
      <w:r>
        <w:rPr>
          <w:sz w:val="28"/>
        </w:rPr>
        <w:t>等水利工程</w:t>
      </w:r>
      <w:r>
        <w:rPr>
          <w:rFonts w:hint="eastAsia"/>
          <w:sz w:val="28"/>
        </w:rPr>
        <w:t>的</w:t>
      </w:r>
      <w:r>
        <w:rPr>
          <w:sz w:val="28"/>
        </w:rPr>
        <w:t>工程等级</w:t>
      </w:r>
      <w:r>
        <w:rPr>
          <w:rFonts w:hint="eastAsia"/>
          <w:sz w:val="28"/>
        </w:rPr>
        <w:t>；</w:t>
      </w:r>
    </w:p>
    <w:p>
      <w:pPr>
        <w:ind w:firstLine="560"/>
        <w:rPr>
          <w:sz w:val="28"/>
        </w:rPr>
      </w:pPr>
      <w:r>
        <w:rPr>
          <w:rFonts w:hint="eastAsia"/>
          <w:sz w:val="28"/>
        </w:rPr>
        <w:t>2）根据相关技术</w:t>
      </w:r>
      <w:r>
        <w:rPr>
          <w:sz w:val="28"/>
        </w:rPr>
        <w:t>依据要求</w:t>
      </w:r>
      <w:r>
        <w:rPr>
          <w:rFonts w:hint="eastAsia"/>
          <w:sz w:val="28"/>
        </w:rPr>
        <w:t>，</w:t>
      </w:r>
      <w:r>
        <w:rPr>
          <w:sz w:val="28"/>
        </w:rPr>
        <w:t>确定</w:t>
      </w:r>
      <w:r>
        <w:rPr>
          <w:rFonts w:hint="eastAsia"/>
          <w:sz w:val="28"/>
        </w:rPr>
        <w:t>各</w:t>
      </w:r>
      <w:r>
        <w:rPr>
          <w:sz w:val="28"/>
        </w:rPr>
        <w:t>类型水利工程</w:t>
      </w:r>
      <w:r>
        <w:rPr>
          <w:rFonts w:hint="eastAsia"/>
          <w:sz w:val="28"/>
        </w:rPr>
        <w:t>管理范围</w:t>
      </w:r>
      <w:r>
        <w:rPr>
          <w:sz w:val="28"/>
        </w:rPr>
        <w:t>及保护范围的</w:t>
      </w:r>
      <w:r>
        <w:rPr>
          <w:rFonts w:hint="eastAsia"/>
          <w:sz w:val="28"/>
        </w:rPr>
        <w:t>外扩</w:t>
      </w:r>
      <w:r>
        <w:rPr>
          <w:sz w:val="28"/>
        </w:rPr>
        <w:t>范围；</w:t>
      </w:r>
    </w:p>
    <w:p>
      <w:pPr>
        <w:ind w:firstLine="560"/>
        <w:rPr>
          <w:sz w:val="28"/>
        </w:rPr>
      </w:pPr>
      <w:r>
        <w:rPr>
          <w:sz w:val="28"/>
        </w:rPr>
        <w:t>3</w:t>
      </w:r>
      <w:r>
        <w:rPr>
          <w:rFonts w:hint="eastAsia"/>
          <w:sz w:val="28"/>
        </w:rPr>
        <w:t>）</w:t>
      </w:r>
      <w:r>
        <w:rPr>
          <w:sz w:val="28"/>
        </w:rPr>
        <w:t>通过</w:t>
      </w:r>
      <w:r>
        <w:rPr>
          <w:rFonts w:hint="eastAsia"/>
          <w:sz w:val="28"/>
        </w:rPr>
        <w:t>实测地形图</w:t>
      </w:r>
      <w:r>
        <w:rPr>
          <w:sz w:val="28"/>
        </w:rPr>
        <w:t>确定</w:t>
      </w:r>
      <w:r>
        <w:rPr>
          <w:rFonts w:hint="eastAsia"/>
          <w:sz w:val="28"/>
        </w:rPr>
        <w:t>水闸</w:t>
      </w:r>
      <w:r>
        <w:rPr>
          <w:sz w:val="28"/>
        </w:rPr>
        <w:t>、泵站水利工程的</w:t>
      </w:r>
      <w:r>
        <w:rPr>
          <w:rFonts w:hint="eastAsia"/>
          <w:sz w:val="28"/>
        </w:rPr>
        <w:t>工程外</w:t>
      </w:r>
      <w:r>
        <w:rPr>
          <w:sz w:val="28"/>
        </w:rPr>
        <w:t>轮廓线</w:t>
      </w:r>
      <w:r>
        <w:rPr>
          <w:rFonts w:hint="eastAsia"/>
          <w:sz w:val="28"/>
        </w:rPr>
        <w:t>及</w:t>
      </w:r>
      <w:r>
        <w:rPr>
          <w:sz w:val="28"/>
        </w:rPr>
        <w:t>堤防的堤顶线</w:t>
      </w:r>
      <w:r>
        <w:rPr>
          <w:rFonts w:hint="eastAsia"/>
          <w:sz w:val="28"/>
        </w:rPr>
        <w:t>；</w:t>
      </w:r>
    </w:p>
    <w:p>
      <w:pPr>
        <w:ind w:firstLine="560"/>
        <w:rPr>
          <w:sz w:val="28"/>
        </w:rPr>
      </w:pPr>
      <w:r>
        <w:rPr>
          <w:sz w:val="28"/>
        </w:rPr>
        <w:t>4</w:t>
      </w:r>
      <w:r>
        <w:rPr>
          <w:rFonts w:hint="eastAsia"/>
          <w:sz w:val="28"/>
        </w:rPr>
        <w:t>）以</w:t>
      </w:r>
      <w:r>
        <w:rPr>
          <w:sz w:val="28"/>
        </w:rPr>
        <w:t>工程</w:t>
      </w:r>
      <w:r>
        <w:rPr>
          <w:rFonts w:hint="eastAsia"/>
          <w:sz w:val="28"/>
        </w:rPr>
        <w:t>外</w:t>
      </w:r>
      <w:r>
        <w:rPr>
          <w:sz w:val="28"/>
        </w:rPr>
        <w:t>轮廓</w:t>
      </w:r>
      <w:r>
        <w:rPr>
          <w:rFonts w:hint="eastAsia"/>
          <w:sz w:val="28"/>
        </w:rPr>
        <w:t>线及</w:t>
      </w:r>
      <w:r>
        <w:rPr>
          <w:sz w:val="28"/>
        </w:rPr>
        <w:t>堤防的堤顶线</w:t>
      </w:r>
      <w:r>
        <w:rPr>
          <w:rFonts w:hint="eastAsia"/>
          <w:sz w:val="28"/>
        </w:rPr>
        <w:t>为</w:t>
      </w:r>
      <w:r>
        <w:rPr>
          <w:sz w:val="28"/>
        </w:rPr>
        <w:t>基准，以</w:t>
      </w:r>
      <w:r>
        <w:rPr>
          <w:rFonts w:hint="eastAsia"/>
          <w:sz w:val="28"/>
        </w:rPr>
        <w:t>确定</w:t>
      </w:r>
      <w:r>
        <w:rPr>
          <w:sz w:val="28"/>
        </w:rPr>
        <w:t>的外扩范围</w:t>
      </w:r>
      <w:r>
        <w:rPr>
          <w:rFonts w:hint="eastAsia"/>
          <w:sz w:val="28"/>
        </w:rPr>
        <w:t>外扩</w:t>
      </w:r>
      <w:r>
        <w:rPr>
          <w:sz w:val="28"/>
        </w:rPr>
        <w:t>，</w:t>
      </w:r>
      <w:r>
        <w:rPr>
          <w:rFonts w:hint="eastAsia"/>
          <w:sz w:val="28"/>
        </w:rPr>
        <w:t>划定各</w:t>
      </w:r>
      <w:r>
        <w:rPr>
          <w:sz w:val="28"/>
        </w:rPr>
        <w:t>水利工程的管理范围及保护范围</w:t>
      </w:r>
      <w:r>
        <w:rPr>
          <w:rFonts w:hint="eastAsia"/>
          <w:sz w:val="28"/>
        </w:rPr>
        <w:t>，</w:t>
      </w:r>
      <w:r>
        <w:rPr>
          <w:sz w:val="28"/>
        </w:rPr>
        <w:t>形成</w:t>
      </w:r>
      <w:r>
        <w:rPr>
          <w:rFonts w:hint="eastAsia"/>
          <w:sz w:val="28"/>
        </w:rPr>
        <w:t>最终</w:t>
      </w:r>
      <w:r>
        <w:rPr>
          <w:sz w:val="28"/>
        </w:rPr>
        <w:t>划线成果。</w:t>
      </w:r>
    </w:p>
    <w:p>
      <w:pPr>
        <w:ind w:firstLine="562"/>
        <w:rPr>
          <w:b/>
          <w:sz w:val="28"/>
        </w:rPr>
      </w:pPr>
      <w:r>
        <w:rPr>
          <w:rFonts w:hint="eastAsia"/>
          <w:b/>
          <w:sz w:val="28"/>
        </w:rPr>
        <w:t>（</w:t>
      </w:r>
      <w:r>
        <w:rPr>
          <w:b/>
          <w:sz w:val="28"/>
        </w:rPr>
        <w:t>2</w:t>
      </w:r>
      <w:r>
        <w:rPr>
          <w:rFonts w:hint="eastAsia"/>
          <w:b/>
          <w:sz w:val="28"/>
        </w:rPr>
        <w:t>）水闸划定</w:t>
      </w:r>
    </w:p>
    <w:p>
      <w:pPr>
        <w:ind w:firstLine="562"/>
        <w:rPr>
          <w:b/>
          <w:sz w:val="28"/>
        </w:rPr>
      </w:pPr>
      <w:r>
        <w:rPr>
          <w:rFonts w:hint="eastAsia"/>
          <w:b/>
          <w:sz w:val="28"/>
        </w:rPr>
        <w:t>1）划分</w:t>
      </w:r>
      <w:r>
        <w:rPr>
          <w:b/>
          <w:sz w:val="28"/>
        </w:rPr>
        <w:t>工程等级</w:t>
      </w:r>
    </w:p>
    <w:p>
      <w:pPr>
        <w:ind w:firstLine="560"/>
        <w:rPr>
          <w:sz w:val="28"/>
        </w:rPr>
      </w:pPr>
      <w:r>
        <w:rPr>
          <w:rFonts w:hint="eastAsia"/>
          <w:sz w:val="28"/>
        </w:rPr>
        <w:t>根据广州市</w:t>
      </w:r>
      <w:r>
        <w:rPr>
          <w:sz w:val="28"/>
        </w:rPr>
        <w:t>水普资料，</w:t>
      </w:r>
      <w:r>
        <w:rPr>
          <w:rFonts w:hint="eastAsia"/>
          <w:sz w:val="28"/>
        </w:rPr>
        <w:t>越秀区水闸除东濠涌</w:t>
      </w:r>
      <w:r>
        <w:rPr>
          <w:sz w:val="28"/>
        </w:rPr>
        <w:t>水闸</w:t>
      </w:r>
      <w:r>
        <w:rPr>
          <w:rFonts w:hint="eastAsia"/>
          <w:sz w:val="28"/>
        </w:rPr>
        <w:t>为中型</w:t>
      </w:r>
      <w:r>
        <w:rPr>
          <w:sz w:val="28"/>
        </w:rPr>
        <w:t>水闸</w:t>
      </w:r>
      <w:r>
        <w:rPr>
          <w:rFonts w:hint="eastAsia"/>
          <w:sz w:val="28"/>
        </w:rPr>
        <w:t>外</w:t>
      </w:r>
      <w:r>
        <w:rPr>
          <w:sz w:val="28"/>
        </w:rPr>
        <w:t>，</w:t>
      </w:r>
      <w:r>
        <w:rPr>
          <w:rFonts w:hint="eastAsia"/>
          <w:sz w:val="28"/>
        </w:rPr>
        <w:t>其他</w:t>
      </w:r>
      <w:r>
        <w:rPr>
          <w:sz w:val="28"/>
        </w:rPr>
        <w:t>水闸均为小型水闸</w:t>
      </w:r>
      <w:r>
        <w:rPr>
          <w:rFonts w:hint="eastAsia"/>
          <w:sz w:val="28"/>
        </w:rPr>
        <w:t>，水闸</w:t>
      </w:r>
      <w:r>
        <w:rPr>
          <w:sz w:val="28"/>
        </w:rPr>
        <w:t>工程等级表如下。</w:t>
      </w:r>
    </w:p>
    <w:p>
      <w:pPr>
        <w:pStyle w:val="21"/>
        <w:rPr>
          <w:sz w:val="28"/>
        </w:rPr>
      </w:pPr>
      <w:r>
        <w:rPr>
          <w:rFonts w:hint="eastAsia"/>
          <w:sz w:val="28"/>
        </w:rPr>
        <w:t>表</w:t>
      </w:r>
      <w:r>
        <w:rPr>
          <w:sz w:val="28"/>
        </w:rPr>
        <w:t xml:space="preserve">4-2 </w:t>
      </w:r>
      <w:r>
        <w:rPr>
          <w:rFonts w:hint="eastAsia"/>
          <w:sz w:val="28"/>
        </w:rPr>
        <w:t>水闸工程</w:t>
      </w:r>
      <w:r>
        <w:rPr>
          <w:sz w:val="28"/>
        </w:rPr>
        <w:t>等级表</w:t>
      </w:r>
    </w:p>
    <w:tbl>
      <w:tblPr>
        <w:tblStyle w:val="12"/>
        <w:tblW w:w="5000" w:type="pct"/>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72"/>
        <w:gridCol w:w="7508"/>
        <w:gridCol w:w="3238"/>
        <w:gridCol w:w="2058"/>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blHeader/>
        </w:trPr>
        <w:tc>
          <w:tcPr>
            <w:tcW w:w="484" w:type="pct"/>
            <w:shd w:val="clear" w:color="auto" w:fill="auto"/>
            <w:noWrap/>
            <w:vAlign w:val="center"/>
          </w:tcPr>
          <w:p>
            <w:pPr>
              <w:pStyle w:val="19"/>
              <w:rPr>
                <w:b/>
                <w:sz w:val="28"/>
                <w:szCs w:val="24"/>
              </w:rPr>
            </w:pPr>
            <w:r>
              <w:rPr>
                <w:rFonts w:hint="eastAsia"/>
                <w:b/>
                <w:sz w:val="28"/>
                <w:szCs w:val="24"/>
              </w:rPr>
              <w:t>序号</w:t>
            </w:r>
          </w:p>
        </w:tc>
        <w:tc>
          <w:tcPr>
            <w:tcW w:w="2648" w:type="pct"/>
            <w:shd w:val="clear" w:color="auto" w:fill="auto"/>
            <w:noWrap/>
            <w:vAlign w:val="center"/>
          </w:tcPr>
          <w:p>
            <w:pPr>
              <w:pStyle w:val="19"/>
              <w:rPr>
                <w:b/>
                <w:sz w:val="28"/>
                <w:szCs w:val="24"/>
              </w:rPr>
            </w:pPr>
            <w:r>
              <w:rPr>
                <w:rFonts w:hint="eastAsia"/>
                <w:b/>
                <w:sz w:val="28"/>
                <w:szCs w:val="24"/>
              </w:rPr>
              <w:t>名称</w:t>
            </w:r>
          </w:p>
        </w:tc>
        <w:tc>
          <w:tcPr>
            <w:tcW w:w="1142" w:type="pct"/>
            <w:shd w:val="clear" w:color="auto" w:fill="auto"/>
            <w:noWrap/>
            <w:vAlign w:val="center"/>
          </w:tcPr>
          <w:p>
            <w:pPr>
              <w:pStyle w:val="19"/>
              <w:rPr>
                <w:b/>
                <w:sz w:val="28"/>
                <w:szCs w:val="24"/>
              </w:rPr>
            </w:pPr>
            <w:r>
              <w:rPr>
                <w:rFonts w:hint="eastAsia"/>
                <w:b/>
                <w:sz w:val="28"/>
                <w:szCs w:val="24"/>
              </w:rPr>
              <w:t>工程规模</w:t>
            </w:r>
          </w:p>
        </w:tc>
        <w:tc>
          <w:tcPr>
            <w:tcW w:w="726" w:type="pct"/>
            <w:shd w:val="clear" w:color="auto" w:fill="auto"/>
            <w:noWrap/>
            <w:vAlign w:val="center"/>
          </w:tcPr>
          <w:p>
            <w:pPr>
              <w:pStyle w:val="19"/>
              <w:rPr>
                <w:b/>
                <w:sz w:val="28"/>
                <w:szCs w:val="24"/>
              </w:rPr>
            </w:pPr>
            <w:r>
              <w:rPr>
                <w:rFonts w:hint="eastAsia"/>
                <w:b/>
                <w:sz w:val="28"/>
                <w:szCs w:val="24"/>
              </w:rPr>
              <w:t>工程级别</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1</w:t>
            </w:r>
          </w:p>
        </w:tc>
        <w:tc>
          <w:tcPr>
            <w:tcW w:w="2648" w:type="pct"/>
            <w:shd w:val="clear" w:color="auto" w:fill="auto"/>
            <w:noWrap/>
            <w:vAlign w:val="center"/>
          </w:tcPr>
          <w:p>
            <w:pPr>
              <w:pStyle w:val="19"/>
              <w:rPr>
                <w:sz w:val="24"/>
                <w:szCs w:val="24"/>
              </w:rPr>
            </w:pPr>
            <w:r>
              <w:rPr>
                <w:rFonts w:hint="eastAsia"/>
                <w:sz w:val="24"/>
                <w:szCs w:val="24"/>
              </w:rPr>
              <w:t>东濠涌水闸</w:t>
            </w:r>
          </w:p>
        </w:tc>
        <w:tc>
          <w:tcPr>
            <w:tcW w:w="1142" w:type="pct"/>
            <w:shd w:val="clear" w:color="auto" w:fill="auto"/>
            <w:noWrap/>
            <w:vAlign w:val="center"/>
          </w:tcPr>
          <w:p>
            <w:pPr>
              <w:pStyle w:val="19"/>
              <w:rPr>
                <w:sz w:val="24"/>
                <w:szCs w:val="24"/>
              </w:rPr>
            </w:pPr>
            <w:r>
              <w:rPr>
                <w:rFonts w:hint="eastAsia"/>
                <w:sz w:val="24"/>
                <w:szCs w:val="24"/>
              </w:rPr>
              <w:t>中型</w:t>
            </w:r>
          </w:p>
        </w:tc>
        <w:tc>
          <w:tcPr>
            <w:tcW w:w="726" w:type="pct"/>
            <w:shd w:val="clear" w:color="auto" w:fill="auto"/>
            <w:noWrap/>
            <w:vAlign w:val="center"/>
          </w:tcPr>
          <w:p>
            <w:pPr>
              <w:pStyle w:val="19"/>
              <w:rPr>
                <w:sz w:val="24"/>
                <w:szCs w:val="24"/>
              </w:rPr>
            </w:pPr>
            <w:r>
              <w:rPr>
                <w:rFonts w:hint="eastAsia"/>
                <w:sz w:val="24"/>
                <w:szCs w:val="24"/>
              </w:rPr>
              <w:t>1级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2</w:t>
            </w:r>
          </w:p>
        </w:tc>
        <w:tc>
          <w:tcPr>
            <w:tcW w:w="2648" w:type="pct"/>
            <w:shd w:val="clear" w:color="auto" w:fill="auto"/>
            <w:noWrap/>
            <w:vAlign w:val="center"/>
          </w:tcPr>
          <w:p>
            <w:pPr>
              <w:pStyle w:val="19"/>
              <w:rPr>
                <w:sz w:val="24"/>
                <w:szCs w:val="24"/>
              </w:rPr>
            </w:pPr>
            <w:r>
              <w:rPr>
                <w:rFonts w:hint="eastAsia"/>
                <w:sz w:val="24"/>
                <w:szCs w:val="24"/>
              </w:rPr>
              <w:t>沙河涌水闸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1级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3</w:t>
            </w:r>
          </w:p>
        </w:tc>
        <w:tc>
          <w:tcPr>
            <w:tcW w:w="2648" w:type="pct"/>
            <w:shd w:val="clear" w:color="auto" w:fill="auto"/>
            <w:noWrap/>
            <w:vAlign w:val="center"/>
          </w:tcPr>
          <w:p>
            <w:pPr>
              <w:pStyle w:val="19"/>
              <w:rPr>
                <w:sz w:val="24"/>
                <w:szCs w:val="24"/>
              </w:rPr>
            </w:pPr>
            <w:r>
              <w:rPr>
                <w:rFonts w:hint="eastAsia"/>
                <w:sz w:val="24"/>
                <w:szCs w:val="24"/>
              </w:rPr>
              <w:t>水均岗水闸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4级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4</w:t>
            </w:r>
          </w:p>
        </w:tc>
        <w:tc>
          <w:tcPr>
            <w:tcW w:w="2648" w:type="pct"/>
            <w:shd w:val="clear" w:color="auto" w:fill="auto"/>
            <w:noWrap/>
            <w:vAlign w:val="center"/>
          </w:tcPr>
          <w:p>
            <w:pPr>
              <w:pStyle w:val="19"/>
              <w:rPr>
                <w:sz w:val="24"/>
                <w:szCs w:val="24"/>
              </w:rPr>
            </w:pPr>
            <w:r>
              <w:rPr>
                <w:rFonts w:hint="eastAsia"/>
                <w:sz w:val="24"/>
                <w:szCs w:val="24"/>
              </w:rPr>
              <w:t>东山湖8号闸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1级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5</w:t>
            </w:r>
          </w:p>
        </w:tc>
        <w:tc>
          <w:tcPr>
            <w:tcW w:w="2648" w:type="pct"/>
            <w:shd w:val="clear" w:color="auto" w:fill="auto"/>
            <w:noWrap/>
            <w:vAlign w:val="center"/>
          </w:tcPr>
          <w:p>
            <w:pPr>
              <w:pStyle w:val="19"/>
              <w:rPr>
                <w:sz w:val="24"/>
                <w:szCs w:val="24"/>
              </w:rPr>
            </w:pPr>
            <w:r>
              <w:rPr>
                <w:rFonts w:hint="eastAsia"/>
                <w:sz w:val="24"/>
                <w:szCs w:val="24"/>
              </w:rPr>
              <w:t>东山湖9号闸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1级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6</w:t>
            </w:r>
          </w:p>
        </w:tc>
        <w:tc>
          <w:tcPr>
            <w:tcW w:w="2648" w:type="pct"/>
            <w:shd w:val="clear" w:color="auto" w:fill="auto"/>
            <w:noWrap/>
            <w:vAlign w:val="center"/>
          </w:tcPr>
          <w:p>
            <w:pPr>
              <w:pStyle w:val="19"/>
              <w:rPr>
                <w:sz w:val="24"/>
                <w:szCs w:val="24"/>
              </w:rPr>
            </w:pPr>
            <w:r>
              <w:rPr>
                <w:rFonts w:hint="eastAsia"/>
                <w:sz w:val="24"/>
                <w:szCs w:val="24"/>
              </w:rPr>
              <w:t>东山湖6号闸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1级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7</w:t>
            </w:r>
          </w:p>
        </w:tc>
        <w:tc>
          <w:tcPr>
            <w:tcW w:w="2648" w:type="pct"/>
            <w:shd w:val="clear" w:color="auto" w:fill="auto"/>
            <w:noWrap/>
            <w:vAlign w:val="center"/>
          </w:tcPr>
          <w:p>
            <w:pPr>
              <w:pStyle w:val="19"/>
              <w:rPr>
                <w:sz w:val="24"/>
                <w:szCs w:val="24"/>
              </w:rPr>
            </w:pPr>
            <w:r>
              <w:rPr>
                <w:rFonts w:hint="eastAsia"/>
                <w:sz w:val="24"/>
                <w:szCs w:val="24"/>
              </w:rPr>
              <w:t>流花湖2号闸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4级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8</w:t>
            </w:r>
          </w:p>
        </w:tc>
        <w:tc>
          <w:tcPr>
            <w:tcW w:w="2648" w:type="pct"/>
            <w:shd w:val="clear" w:color="auto" w:fill="auto"/>
            <w:noWrap/>
            <w:vAlign w:val="center"/>
          </w:tcPr>
          <w:p>
            <w:pPr>
              <w:pStyle w:val="19"/>
              <w:rPr>
                <w:sz w:val="24"/>
                <w:szCs w:val="24"/>
              </w:rPr>
            </w:pPr>
            <w:r>
              <w:rPr>
                <w:rFonts w:hint="eastAsia"/>
                <w:sz w:val="24"/>
                <w:szCs w:val="24"/>
              </w:rPr>
              <w:t>流花湖3号闸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4级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9</w:t>
            </w:r>
          </w:p>
        </w:tc>
        <w:tc>
          <w:tcPr>
            <w:tcW w:w="2648" w:type="pct"/>
            <w:shd w:val="clear" w:color="auto" w:fill="auto"/>
            <w:noWrap/>
            <w:vAlign w:val="center"/>
          </w:tcPr>
          <w:p>
            <w:pPr>
              <w:pStyle w:val="19"/>
              <w:rPr>
                <w:sz w:val="24"/>
                <w:szCs w:val="24"/>
              </w:rPr>
            </w:pPr>
            <w:r>
              <w:rPr>
                <w:rFonts w:hint="eastAsia"/>
                <w:sz w:val="24"/>
                <w:szCs w:val="24"/>
              </w:rPr>
              <w:t>东山湖4号闸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4级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10</w:t>
            </w:r>
          </w:p>
        </w:tc>
        <w:tc>
          <w:tcPr>
            <w:tcW w:w="2648" w:type="pct"/>
            <w:shd w:val="clear" w:color="auto" w:fill="auto"/>
            <w:noWrap/>
            <w:vAlign w:val="center"/>
          </w:tcPr>
          <w:p>
            <w:pPr>
              <w:pStyle w:val="19"/>
              <w:rPr>
                <w:sz w:val="24"/>
                <w:szCs w:val="24"/>
              </w:rPr>
            </w:pPr>
            <w:r>
              <w:rPr>
                <w:rFonts w:hint="eastAsia"/>
                <w:sz w:val="24"/>
                <w:szCs w:val="24"/>
              </w:rPr>
              <w:t>东山湖5号闸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4级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11</w:t>
            </w:r>
          </w:p>
        </w:tc>
        <w:tc>
          <w:tcPr>
            <w:tcW w:w="2648" w:type="pct"/>
            <w:shd w:val="clear" w:color="auto" w:fill="auto"/>
            <w:noWrap/>
            <w:vAlign w:val="center"/>
          </w:tcPr>
          <w:p>
            <w:pPr>
              <w:pStyle w:val="19"/>
              <w:rPr>
                <w:sz w:val="24"/>
                <w:szCs w:val="24"/>
              </w:rPr>
            </w:pPr>
            <w:r>
              <w:rPr>
                <w:rFonts w:hint="eastAsia"/>
                <w:sz w:val="24"/>
                <w:szCs w:val="24"/>
              </w:rPr>
              <w:t>麓湖水闸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4级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12</w:t>
            </w:r>
          </w:p>
        </w:tc>
        <w:tc>
          <w:tcPr>
            <w:tcW w:w="2648" w:type="pct"/>
            <w:shd w:val="clear" w:color="auto" w:fill="auto"/>
            <w:noWrap/>
            <w:vAlign w:val="center"/>
          </w:tcPr>
          <w:p>
            <w:pPr>
              <w:pStyle w:val="19"/>
              <w:rPr>
                <w:sz w:val="24"/>
                <w:szCs w:val="24"/>
              </w:rPr>
            </w:pPr>
            <w:r>
              <w:rPr>
                <w:rFonts w:hint="eastAsia"/>
                <w:sz w:val="24"/>
                <w:szCs w:val="24"/>
              </w:rPr>
              <w:t>新河浦涌1号闸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4级</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84" w:type="pct"/>
            <w:shd w:val="clear" w:color="auto" w:fill="auto"/>
            <w:noWrap/>
            <w:vAlign w:val="center"/>
          </w:tcPr>
          <w:p>
            <w:pPr>
              <w:pStyle w:val="19"/>
              <w:rPr>
                <w:sz w:val="24"/>
                <w:szCs w:val="24"/>
              </w:rPr>
            </w:pPr>
            <w:r>
              <w:rPr>
                <w:rFonts w:hint="eastAsia"/>
                <w:sz w:val="24"/>
                <w:szCs w:val="24"/>
              </w:rPr>
              <w:t>13</w:t>
            </w:r>
          </w:p>
        </w:tc>
        <w:tc>
          <w:tcPr>
            <w:tcW w:w="2648" w:type="pct"/>
            <w:shd w:val="clear" w:color="auto" w:fill="auto"/>
            <w:noWrap/>
            <w:vAlign w:val="center"/>
          </w:tcPr>
          <w:p>
            <w:pPr>
              <w:pStyle w:val="19"/>
              <w:rPr>
                <w:sz w:val="24"/>
                <w:szCs w:val="24"/>
              </w:rPr>
            </w:pPr>
            <w:r>
              <w:rPr>
                <w:rFonts w:hint="eastAsia"/>
                <w:sz w:val="24"/>
                <w:szCs w:val="24"/>
              </w:rPr>
              <w:t>新河浦涌2号闸</w:t>
            </w:r>
          </w:p>
        </w:tc>
        <w:tc>
          <w:tcPr>
            <w:tcW w:w="1142" w:type="pct"/>
            <w:shd w:val="clear" w:color="auto" w:fill="auto"/>
            <w:noWrap/>
            <w:vAlign w:val="center"/>
          </w:tcPr>
          <w:p>
            <w:pPr>
              <w:pStyle w:val="19"/>
              <w:rPr>
                <w:sz w:val="24"/>
                <w:szCs w:val="24"/>
              </w:rPr>
            </w:pPr>
            <w:r>
              <w:rPr>
                <w:rFonts w:hint="eastAsia"/>
                <w:sz w:val="24"/>
                <w:szCs w:val="24"/>
              </w:rPr>
              <w:t>小型</w:t>
            </w:r>
          </w:p>
        </w:tc>
        <w:tc>
          <w:tcPr>
            <w:tcW w:w="726" w:type="pct"/>
            <w:shd w:val="clear" w:color="auto" w:fill="auto"/>
            <w:noWrap/>
            <w:vAlign w:val="center"/>
          </w:tcPr>
          <w:p>
            <w:pPr>
              <w:pStyle w:val="19"/>
              <w:rPr>
                <w:sz w:val="24"/>
                <w:szCs w:val="24"/>
              </w:rPr>
            </w:pPr>
            <w:r>
              <w:rPr>
                <w:rFonts w:hint="eastAsia"/>
                <w:sz w:val="24"/>
                <w:szCs w:val="24"/>
              </w:rPr>
              <w:t>4级</w:t>
            </w:r>
          </w:p>
        </w:tc>
      </w:tr>
    </w:tbl>
    <w:p>
      <w:pPr>
        <w:ind w:firstLine="560"/>
        <w:rPr>
          <w:sz w:val="28"/>
        </w:rPr>
      </w:pPr>
    </w:p>
    <w:p>
      <w:pPr>
        <w:ind w:firstLine="562"/>
        <w:rPr>
          <w:b/>
          <w:sz w:val="28"/>
        </w:rPr>
      </w:pPr>
      <w:r>
        <w:rPr>
          <w:rFonts w:hint="eastAsia"/>
          <w:b/>
          <w:sz w:val="28"/>
        </w:rPr>
        <w:t>2）划定管理范围及</w:t>
      </w:r>
      <w:r>
        <w:rPr>
          <w:b/>
          <w:sz w:val="28"/>
        </w:rPr>
        <w:t>保护范围</w:t>
      </w:r>
      <w:r>
        <w:rPr>
          <w:rFonts w:hint="eastAsia"/>
          <w:b/>
          <w:sz w:val="28"/>
        </w:rPr>
        <w:t>外扩</w:t>
      </w:r>
      <w:r>
        <w:rPr>
          <w:b/>
          <w:sz w:val="28"/>
        </w:rPr>
        <w:t>范围确定</w:t>
      </w:r>
    </w:p>
    <w:p>
      <w:pPr>
        <w:pStyle w:val="52"/>
        <w:numPr>
          <w:ilvl w:val="0"/>
          <w:numId w:val="2"/>
        </w:numPr>
        <w:ind w:firstLineChars="0"/>
        <w:rPr>
          <w:b/>
          <w:sz w:val="28"/>
        </w:rPr>
      </w:pPr>
      <w:r>
        <w:rPr>
          <w:rFonts w:hint="eastAsia"/>
          <w:b/>
          <w:sz w:val="28"/>
        </w:rPr>
        <w:t>《水闸工程管理设计规范（SL170-96)》</w:t>
      </w:r>
    </w:p>
    <w:p>
      <w:pPr>
        <w:ind w:firstLine="562"/>
        <w:rPr>
          <w:sz w:val="28"/>
        </w:rPr>
      </w:pPr>
      <w:r>
        <w:rPr>
          <w:rFonts w:hint="eastAsia"/>
          <w:b/>
          <w:sz w:val="28"/>
        </w:rPr>
        <w:t>《水闸工程管理设计规范（SL170-96)》</w:t>
      </w:r>
      <w:r>
        <w:rPr>
          <w:rFonts w:hint="eastAsia"/>
          <w:sz w:val="28"/>
        </w:rPr>
        <w:t>按照水闸等级划分</w:t>
      </w:r>
      <w:r>
        <w:rPr>
          <w:sz w:val="28"/>
        </w:rPr>
        <w:t>，对</w:t>
      </w:r>
      <w:r>
        <w:rPr>
          <w:rFonts w:hint="eastAsia"/>
          <w:sz w:val="28"/>
        </w:rPr>
        <w:t>各级别</w:t>
      </w:r>
      <w:r>
        <w:rPr>
          <w:sz w:val="28"/>
        </w:rPr>
        <w:t>水闸</w:t>
      </w:r>
      <w:r>
        <w:rPr>
          <w:rFonts w:hint="eastAsia"/>
          <w:sz w:val="28"/>
        </w:rPr>
        <w:t>管理范围</w:t>
      </w:r>
      <w:r>
        <w:rPr>
          <w:sz w:val="28"/>
        </w:rPr>
        <w:t>的规定如下</w:t>
      </w:r>
      <w:r>
        <w:rPr>
          <w:rFonts w:hint="eastAsia"/>
          <w:sz w:val="28"/>
        </w:rPr>
        <w:t>表</w:t>
      </w:r>
      <w:r>
        <w:rPr>
          <w:sz w:val="28"/>
        </w:rPr>
        <w:t>所示</w:t>
      </w:r>
      <w:r>
        <w:rPr>
          <w:rFonts w:hint="eastAsia"/>
          <w:sz w:val="28"/>
        </w:rPr>
        <w:t>。</w:t>
      </w:r>
    </w:p>
    <w:p>
      <w:pPr>
        <w:pStyle w:val="21"/>
        <w:rPr>
          <w:sz w:val="28"/>
        </w:rPr>
      </w:pPr>
      <w:r>
        <w:rPr>
          <w:rFonts w:hint="eastAsia"/>
          <w:sz w:val="28"/>
        </w:rPr>
        <w:t>表</w:t>
      </w:r>
      <w:r>
        <w:rPr>
          <w:sz w:val="28"/>
        </w:rPr>
        <w:t xml:space="preserve">4-3 </w:t>
      </w:r>
      <w:r>
        <w:rPr>
          <w:rFonts w:hint="eastAsia"/>
          <w:sz w:val="28"/>
        </w:rPr>
        <w:t>水闸</w:t>
      </w:r>
      <w:r>
        <w:rPr>
          <w:sz w:val="28"/>
        </w:rPr>
        <w:t>管理范围</w:t>
      </w:r>
    </w:p>
    <w:tbl>
      <w:tblPr>
        <w:tblStyle w:val="12"/>
        <w:tblW w:w="5000" w:type="pct"/>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321"/>
        <w:gridCol w:w="1971"/>
        <w:gridCol w:w="1971"/>
        <w:gridCol w:w="1971"/>
        <w:gridCol w:w="1971"/>
        <w:gridCol w:w="1971"/>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524" w:type="pct"/>
            <w:shd w:val="clear" w:color="auto" w:fill="auto"/>
            <w:noWrap/>
            <w:vAlign w:val="center"/>
          </w:tcPr>
          <w:p>
            <w:pPr>
              <w:pStyle w:val="19"/>
              <w:rPr>
                <w:b/>
                <w:sz w:val="28"/>
              </w:rPr>
            </w:pPr>
            <w:r>
              <w:rPr>
                <w:rFonts w:hint="eastAsia"/>
                <w:b/>
                <w:sz w:val="28"/>
              </w:rPr>
              <w:t>建筑物等级</w:t>
            </w:r>
          </w:p>
        </w:tc>
        <w:tc>
          <w:tcPr>
            <w:tcW w:w="695" w:type="pct"/>
            <w:shd w:val="clear" w:color="auto" w:fill="auto"/>
            <w:noWrap/>
            <w:vAlign w:val="center"/>
          </w:tcPr>
          <w:p>
            <w:pPr>
              <w:pStyle w:val="19"/>
              <w:rPr>
                <w:b/>
                <w:sz w:val="28"/>
              </w:rPr>
            </w:pPr>
            <w:r>
              <w:rPr>
                <w:rFonts w:hint="eastAsia"/>
                <w:b/>
                <w:sz w:val="28"/>
              </w:rPr>
              <w:t>1</w:t>
            </w:r>
          </w:p>
        </w:tc>
        <w:tc>
          <w:tcPr>
            <w:tcW w:w="695" w:type="pct"/>
            <w:shd w:val="clear" w:color="auto" w:fill="auto"/>
            <w:noWrap/>
            <w:vAlign w:val="center"/>
          </w:tcPr>
          <w:p>
            <w:pPr>
              <w:pStyle w:val="19"/>
              <w:rPr>
                <w:b/>
                <w:sz w:val="28"/>
              </w:rPr>
            </w:pPr>
            <w:r>
              <w:rPr>
                <w:rFonts w:hint="eastAsia"/>
                <w:b/>
                <w:sz w:val="28"/>
              </w:rPr>
              <w:t>2</w:t>
            </w:r>
          </w:p>
        </w:tc>
        <w:tc>
          <w:tcPr>
            <w:tcW w:w="695" w:type="pct"/>
            <w:shd w:val="clear" w:color="auto" w:fill="auto"/>
            <w:noWrap/>
            <w:vAlign w:val="center"/>
          </w:tcPr>
          <w:p>
            <w:pPr>
              <w:pStyle w:val="19"/>
              <w:rPr>
                <w:b/>
                <w:sz w:val="28"/>
              </w:rPr>
            </w:pPr>
            <w:r>
              <w:rPr>
                <w:rFonts w:hint="eastAsia"/>
                <w:b/>
                <w:sz w:val="28"/>
              </w:rPr>
              <w:t>3</w:t>
            </w:r>
          </w:p>
        </w:tc>
        <w:tc>
          <w:tcPr>
            <w:tcW w:w="695" w:type="pct"/>
            <w:shd w:val="clear" w:color="auto" w:fill="auto"/>
            <w:noWrap/>
            <w:vAlign w:val="center"/>
          </w:tcPr>
          <w:p>
            <w:pPr>
              <w:pStyle w:val="19"/>
              <w:rPr>
                <w:b/>
                <w:sz w:val="28"/>
              </w:rPr>
            </w:pPr>
            <w:r>
              <w:rPr>
                <w:rFonts w:hint="eastAsia"/>
                <w:b/>
                <w:sz w:val="28"/>
              </w:rPr>
              <w:t>4</w:t>
            </w:r>
          </w:p>
        </w:tc>
        <w:tc>
          <w:tcPr>
            <w:tcW w:w="695" w:type="pct"/>
            <w:shd w:val="clear" w:color="auto" w:fill="auto"/>
            <w:noWrap/>
            <w:vAlign w:val="center"/>
          </w:tcPr>
          <w:p>
            <w:pPr>
              <w:pStyle w:val="19"/>
              <w:rPr>
                <w:b/>
                <w:sz w:val="28"/>
              </w:rPr>
            </w:pPr>
            <w:r>
              <w:rPr>
                <w:rFonts w:hint="eastAsia"/>
                <w:b/>
                <w:sz w:val="28"/>
              </w:rPr>
              <w:t>5</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524" w:type="pct"/>
            <w:shd w:val="clear" w:color="auto" w:fill="auto"/>
            <w:noWrap/>
            <w:vAlign w:val="center"/>
          </w:tcPr>
          <w:p>
            <w:pPr>
              <w:pStyle w:val="19"/>
              <w:rPr>
                <w:sz w:val="24"/>
              </w:rPr>
            </w:pPr>
            <w:r>
              <w:rPr>
                <w:rFonts w:hint="eastAsia"/>
                <w:sz w:val="24"/>
              </w:rPr>
              <w:t>水闸上、下游的宽度(m)</w:t>
            </w:r>
          </w:p>
        </w:tc>
        <w:tc>
          <w:tcPr>
            <w:tcW w:w="695" w:type="pct"/>
            <w:shd w:val="clear" w:color="auto" w:fill="auto"/>
            <w:noWrap/>
            <w:vAlign w:val="center"/>
          </w:tcPr>
          <w:p>
            <w:pPr>
              <w:pStyle w:val="19"/>
              <w:rPr>
                <w:sz w:val="24"/>
              </w:rPr>
            </w:pPr>
            <w:r>
              <w:rPr>
                <w:rFonts w:hint="eastAsia"/>
                <w:sz w:val="24"/>
              </w:rPr>
              <w:t>500~1000</w:t>
            </w:r>
          </w:p>
        </w:tc>
        <w:tc>
          <w:tcPr>
            <w:tcW w:w="695" w:type="pct"/>
            <w:shd w:val="clear" w:color="auto" w:fill="auto"/>
            <w:noWrap/>
            <w:vAlign w:val="center"/>
          </w:tcPr>
          <w:p>
            <w:pPr>
              <w:pStyle w:val="19"/>
              <w:rPr>
                <w:sz w:val="24"/>
              </w:rPr>
            </w:pPr>
            <w:r>
              <w:rPr>
                <w:rFonts w:hint="eastAsia"/>
                <w:sz w:val="24"/>
              </w:rPr>
              <w:t>300~500</w:t>
            </w:r>
          </w:p>
        </w:tc>
        <w:tc>
          <w:tcPr>
            <w:tcW w:w="695" w:type="pct"/>
            <w:shd w:val="clear" w:color="auto" w:fill="auto"/>
            <w:noWrap/>
            <w:vAlign w:val="center"/>
          </w:tcPr>
          <w:p>
            <w:pPr>
              <w:pStyle w:val="19"/>
              <w:rPr>
                <w:sz w:val="24"/>
              </w:rPr>
            </w:pPr>
            <w:r>
              <w:rPr>
                <w:rFonts w:hint="eastAsia"/>
                <w:sz w:val="24"/>
              </w:rPr>
              <w:t>100~300</w:t>
            </w:r>
          </w:p>
        </w:tc>
        <w:tc>
          <w:tcPr>
            <w:tcW w:w="695" w:type="pct"/>
            <w:shd w:val="clear" w:color="auto" w:fill="auto"/>
            <w:noWrap/>
            <w:vAlign w:val="center"/>
          </w:tcPr>
          <w:p>
            <w:pPr>
              <w:pStyle w:val="19"/>
              <w:rPr>
                <w:sz w:val="24"/>
              </w:rPr>
            </w:pPr>
            <w:r>
              <w:rPr>
                <w:rFonts w:hint="eastAsia"/>
                <w:sz w:val="24"/>
              </w:rPr>
              <w:t>50~100</w:t>
            </w:r>
          </w:p>
        </w:tc>
        <w:tc>
          <w:tcPr>
            <w:tcW w:w="695" w:type="pct"/>
            <w:shd w:val="clear" w:color="auto" w:fill="auto"/>
            <w:noWrap/>
            <w:vAlign w:val="center"/>
          </w:tcPr>
          <w:p>
            <w:pPr>
              <w:pStyle w:val="19"/>
              <w:rPr>
                <w:sz w:val="24"/>
              </w:rPr>
            </w:pPr>
            <w:r>
              <w:rPr>
                <w:rFonts w:hint="eastAsia"/>
                <w:sz w:val="24"/>
              </w:rPr>
              <w:t>50~100</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524" w:type="pct"/>
            <w:shd w:val="clear" w:color="auto" w:fill="auto"/>
            <w:noWrap/>
            <w:vAlign w:val="center"/>
          </w:tcPr>
          <w:p>
            <w:pPr>
              <w:pStyle w:val="19"/>
              <w:rPr>
                <w:sz w:val="24"/>
              </w:rPr>
            </w:pPr>
            <w:r>
              <w:rPr>
                <w:rFonts w:hint="eastAsia"/>
                <w:sz w:val="24"/>
              </w:rPr>
              <w:t>水闸两侧的宽度(m)</w:t>
            </w:r>
          </w:p>
        </w:tc>
        <w:tc>
          <w:tcPr>
            <w:tcW w:w="695" w:type="pct"/>
            <w:shd w:val="clear" w:color="auto" w:fill="auto"/>
            <w:noWrap/>
            <w:vAlign w:val="center"/>
          </w:tcPr>
          <w:p>
            <w:pPr>
              <w:pStyle w:val="19"/>
              <w:rPr>
                <w:sz w:val="24"/>
              </w:rPr>
            </w:pPr>
            <w:r>
              <w:rPr>
                <w:rFonts w:hint="eastAsia"/>
                <w:sz w:val="24"/>
              </w:rPr>
              <w:t>100~200</w:t>
            </w:r>
          </w:p>
        </w:tc>
        <w:tc>
          <w:tcPr>
            <w:tcW w:w="695" w:type="pct"/>
            <w:shd w:val="clear" w:color="auto" w:fill="auto"/>
            <w:noWrap/>
            <w:vAlign w:val="center"/>
          </w:tcPr>
          <w:p>
            <w:pPr>
              <w:pStyle w:val="19"/>
              <w:rPr>
                <w:sz w:val="24"/>
              </w:rPr>
            </w:pPr>
            <w:r>
              <w:rPr>
                <w:rFonts w:hint="eastAsia"/>
                <w:sz w:val="24"/>
              </w:rPr>
              <w:t>50~100</w:t>
            </w:r>
          </w:p>
        </w:tc>
        <w:tc>
          <w:tcPr>
            <w:tcW w:w="695" w:type="pct"/>
            <w:shd w:val="clear" w:color="auto" w:fill="auto"/>
            <w:noWrap/>
            <w:vAlign w:val="center"/>
          </w:tcPr>
          <w:p>
            <w:pPr>
              <w:pStyle w:val="19"/>
              <w:rPr>
                <w:sz w:val="24"/>
              </w:rPr>
            </w:pPr>
            <w:r>
              <w:rPr>
                <w:rFonts w:hint="eastAsia"/>
                <w:sz w:val="24"/>
              </w:rPr>
              <w:t>30~50</w:t>
            </w:r>
          </w:p>
        </w:tc>
        <w:tc>
          <w:tcPr>
            <w:tcW w:w="695" w:type="pct"/>
            <w:shd w:val="clear" w:color="auto" w:fill="auto"/>
            <w:noWrap/>
            <w:vAlign w:val="center"/>
          </w:tcPr>
          <w:p>
            <w:pPr>
              <w:pStyle w:val="19"/>
              <w:rPr>
                <w:sz w:val="24"/>
              </w:rPr>
            </w:pPr>
            <w:r>
              <w:rPr>
                <w:rFonts w:hint="eastAsia"/>
                <w:sz w:val="24"/>
              </w:rPr>
              <w:t>30~50</w:t>
            </w:r>
          </w:p>
        </w:tc>
        <w:tc>
          <w:tcPr>
            <w:tcW w:w="695" w:type="pct"/>
            <w:shd w:val="clear" w:color="auto" w:fill="auto"/>
            <w:noWrap/>
            <w:vAlign w:val="center"/>
          </w:tcPr>
          <w:p>
            <w:pPr>
              <w:pStyle w:val="19"/>
              <w:rPr>
                <w:sz w:val="24"/>
              </w:rPr>
            </w:pPr>
            <w:r>
              <w:rPr>
                <w:rFonts w:hint="eastAsia"/>
                <w:sz w:val="24"/>
              </w:rPr>
              <w:t>30~50</w:t>
            </w:r>
          </w:p>
        </w:tc>
      </w:tr>
    </w:tbl>
    <w:p>
      <w:pPr>
        <w:ind w:firstLine="560"/>
        <w:rPr>
          <w:sz w:val="28"/>
        </w:rPr>
      </w:pPr>
      <w:r>
        <w:rPr>
          <w:rFonts w:hint="eastAsia"/>
          <w:sz w:val="28"/>
        </w:rPr>
        <w:t>同时</w:t>
      </w:r>
      <w:r>
        <w:rPr>
          <w:sz w:val="28"/>
        </w:rPr>
        <w:t>规定</w:t>
      </w:r>
      <w:r>
        <w:rPr>
          <w:rFonts w:hint="eastAsia"/>
          <w:sz w:val="28"/>
        </w:rPr>
        <w:t>：</w:t>
      </w:r>
    </w:p>
    <w:p>
      <w:pPr>
        <w:ind w:firstLine="560"/>
        <w:rPr>
          <w:sz w:val="28"/>
        </w:rPr>
      </w:pPr>
      <w:r>
        <w:rPr>
          <w:rFonts w:hint="eastAsia" w:ascii="Calibri" w:hAnsi="Calibri" w:cs="Calibri"/>
          <w:sz w:val="28"/>
        </w:rPr>
        <w:t>①</w:t>
      </w:r>
      <w:r>
        <w:rPr>
          <w:rFonts w:hint="eastAsia"/>
          <w:sz w:val="28"/>
        </w:rPr>
        <w:t>若1、2、3级水闸，其规模为中型，则管理范围标准相应降低一级；若为小型则相应降低两级；</w:t>
      </w:r>
    </w:p>
    <w:p>
      <w:pPr>
        <w:ind w:firstLine="560"/>
        <w:rPr>
          <w:sz w:val="28"/>
        </w:rPr>
      </w:pPr>
      <w:r>
        <w:rPr>
          <w:rFonts w:hint="eastAsia"/>
          <w:sz w:val="28"/>
        </w:rPr>
        <w:t>②堤防上的水闸，管理范围应与堤防管理范围统筹确定。</w:t>
      </w:r>
    </w:p>
    <w:p>
      <w:pPr>
        <w:ind w:firstLine="560"/>
        <w:rPr>
          <w:sz w:val="28"/>
        </w:rPr>
      </w:pPr>
      <w:r>
        <w:rPr>
          <w:rFonts w:hint="eastAsia"/>
          <w:sz w:val="28"/>
        </w:rPr>
        <w:t>③特别重要的水闸工程，经过设计论证，可适当扩大管理范围。</w:t>
      </w:r>
    </w:p>
    <w:p>
      <w:pPr>
        <w:ind w:firstLine="560"/>
        <w:rPr>
          <w:sz w:val="28"/>
        </w:rPr>
      </w:pPr>
      <w:r>
        <w:rPr>
          <w:rFonts w:hint="eastAsia"/>
          <w:sz w:val="28"/>
        </w:rPr>
        <w:t>根据上述规定，对</w:t>
      </w:r>
      <w:r>
        <w:rPr>
          <w:sz w:val="28"/>
        </w:rPr>
        <w:t>东濠涌</w:t>
      </w:r>
      <w:r>
        <w:rPr>
          <w:rFonts w:hint="eastAsia"/>
          <w:sz w:val="28"/>
        </w:rPr>
        <w:t>水闸</w:t>
      </w:r>
      <w:r>
        <w:rPr>
          <w:sz w:val="28"/>
        </w:rPr>
        <w:t>，</w:t>
      </w:r>
      <w:r>
        <w:rPr>
          <w:rFonts w:hint="eastAsia"/>
          <w:sz w:val="28"/>
        </w:rPr>
        <w:t>管理范围相较</w:t>
      </w:r>
      <w:r>
        <w:rPr>
          <w:sz w:val="28"/>
        </w:rPr>
        <w:t>降一级，应为</w:t>
      </w:r>
      <w:r>
        <w:rPr>
          <w:rFonts w:hint="eastAsia"/>
          <w:sz w:val="28"/>
        </w:rPr>
        <w:t>水闸</w:t>
      </w:r>
      <w:r>
        <w:rPr>
          <w:sz w:val="28"/>
        </w:rPr>
        <w:t>上、下游宽度</w:t>
      </w:r>
      <w:r>
        <w:rPr>
          <w:rFonts w:hint="eastAsia"/>
          <w:sz w:val="28"/>
        </w:rPr>
        <w:t>300</w:t>
      </w:r>
      <w:r>
        <w:rPr>
          <w:sz w:val="28"/>
        </w:rPr>
        <w:t>~500m；水闸两侧宽度</w:t>
      </w:r>
      <w:r>
        <w:rPr>
          <w:rFonts w:hint="eastAsia"/>
          <w:sz w:val="28"/>
        </w:rPr>
        <w:t>50</w:t>
      </w:r>
      <w:r>
        <w:rPr>
          <w:sz w:val="28"/>
        </w:rPr>
        <w:t>~100m</w:t>
      </w:r>
      <w:r>
        <w:rPr>
          <w:rFonts w:hint="eastAsia"/>
          <w:sz w:val="28"/>
        </w:rPr>
        <w:t>；</w:t>
      </w:r>
      <w:r>
        <w:rPr>
          <w:sz w:val="28"/>
        </w:rPr>
        <w:t>对</w:t>
      </w:r>
      <w:r>
        <w:rPr>
          <w:rFonts w:hint="eastAsia"/>
          <w:sz w:val="28"/>
        </w:rPr>
        <w:t>沙河涌</w:t>
      </w:r>
      <w:r>
        <w:rPr>
          <w:sz w:val="28"/>
        </w:rPr>
        <w:t>水闸，东山湖</w:t>
      </w:r>
      <w:r>
        <w:rPr>
          <w:rFonts w:hint="eastAsia"/>
          <w:sz w:val="28"/>
        </w:rPr>
        <w:t>8号</w:t>
      </w:r>
      <w:r>
        <w:rPr>
          <w:sz w:val="28"/>
        </w:rPr>
        <w:t>闸、</w:t>
      </w:r>
      <w:r>
        <w:rPr>
          <w:rFonts w:hint="eastAsia"/>
          <w:sz w:val="28"/>
        </w:rPr>
        <w:t>9号闸、6号闸</w:t>
      </w:r>
      <w:r>
        <w:rPr>
          <w:sz w:val="28"/>
        </w:rPr>
        <w:t>等</w:t>
      </w:r>
      <w:r>
        <w:rPr>
          <w:rFonts w:hint="eastAsia"/>
          <w:sz w:val="28"/>
        </w:rPr>
        <w:t>四座小型</w:t>
      </w:r>
      <w:r>
        <w:rPr>
          <w:sz w:val="28"/>
        </w:rPr>
        <w:t>水闸，</w:t>
      </w:r>
      <w:r>
        <w:rPr>
          <w:rFonts w:hint="eastAsia"/>
          <w:sz w:val="28"/>
        </w:rPr>
        <w:t>管理范围</w:t>
      </w:r>
      <w:r>
        <w:rPr>
          <w:sz w:val="28"/>
        </w:rPr>
        <w:t>相较降低两级，应为</w:t>
      </w:r>
      <w:r>
        <w:rPr>
          <w:rFonts w:hint="eastAsia"/>
          <w:sz w:val="28"/>
        </w:rPr>
        <w:t>水闸</w:t>
      </w:r>
      <w:r>
        <w:rPr>
          <w:sz w:val="28"/>
        </w:rPr>
        <w:t>上、下游宽度1</w:t>
      </w:r>
      <w:r>
        <w:rPr>
          <w:rFonts w:hint="eastAsia"/>
          <w:sz w:val="28"/>
        </w:rPr>
        <w:t>00</w:t>
      </w:r>
      <w:r>
        <w:rPr>
          <w:sz w:val="28"/>
        </w:rPr>
        <w:t>~300m；水闸两侧宽度3</w:t>
      </w:r>
      <w:r>
        <w:rPr>
          <w:rFonts w:hint="eastAsia"/>
          <w:sz w:val="28"/>
        </w:rPr>
        <w:t>0</w:t>
      </w:r>
      <w:r>
        <w:rPr>
          <w:sz w:val="28"/>
        </w:rPr>
        <w:t>~50m</w:t>
      </w:r>
      <w:r>
        <w:rPr>
          <w:rFonts w:hint="eastAsia"/>
          <w:sz w:val="28"/>
        </w:rPr>
        <w:t>。</w:t>
      </w:r>
    </w:p>
    <w:p>
      <w:pPr>
        <w:ind w:firstLine="560"/>
        <w:rPr>
          <w:sz w:val="28"/>
        </w:rPr>
      </w:pPr>
      <w:r>
        <w:rPr>
          <w:rFonts w:hint="eastAsia"/>
          <w:sz w:val="28"/>
        </w:rPr>
        <w:t>对</w:t>
      </w:r>
      <w:r>
        <w:rPr>
          <w:sz w:val="28"/>
        </w:rPr>
        <w:t>其他水闸，</w:t>
      </w:r>
      <w:r>
        <w:rPr>
          <w:rFonts w:hint="eastAsia"/>
          <w:sz w:val="28"/>
        </w:rPr>
        <w:t>其</w:t>
      </w:r>
      <w:r>
        <w:rPr>
          <w:sz w:val="28"/>
        </w:rPr>
        <w:t>建筑物</w:t>
      </w:r>
      <w:r>
        <w:rPr>
          <w:rFonts w:hint="eastAsia"/>
          <w:sz w:val="28"/>
        </w:rPr>
        <w:t>级别</w:t>
      </w:r>
      <w:r>
        <w:rPr>
          <w:sz w:val="28"/>
        </w:rPr>
        <w:t>为</w:t>
      </w:r>
      <w:r>
        <w:rPr>
          <w:rFonts w:hint="eastAsia"/>
          <w:sz w:val="28"/>
        </w:rPr>
        <w:t>4级</w:t>
      </w:r>
      <w:r>
        <w:rPr>
          <w:sz w:val="28"/>
        </w:rPr>
        <w:t>，即水闸上、下游宽度</w:t>
      </w:r>
      <w:r>
        <w:rPr>
          <w:rFonts w:hint="eastAsia"/>
          <w:sz w:val="28"/>
        </w:rPr>
        <w:t>50</w:t>
      </w:r>
      <w:r>
        <w:rPr>
          <w:sz w:val="28"/>
        </w:rPr>
        <w:t>~100m，水闸两侧</w:t>
      </w:r>
      <w:r>
        <w:rPr>
          <w:rFonts w:hint="eastAsia"/>
          <w:sz w:val="28"/>
        </w:rPr>
        <w:t>30</w:t>
      </w:r>
      <w:r>
        <w:rPr>
          <w:sz w:val="28"/>
        </w:rPr>
        <w:t>~50m。</w:t>
      </w:r>
    </w:p>
    <w:p>
      <w:pPr>
        <w:ind w:firstLine="560"/>
        <w:rPr>
          <w:sz w:val="28"/>
        </w:rPr>
      </w:pPr>
      <w:r>
        <w:rPr>
          <w:rFonts w:hint="eastAsia"/>
          <w:sz w:val="28"/>
        </w:rPr>
        <w:t>规范对</w:t>
      </w:r>
      <w:r>
        <w:rPr>
          <w:sz w:val="28"/>
        </w:rPr>
        <w:t>其保护范围划定未做具体要求，</w:t>
      </w:r>
      <w:r>
        <w:rPr>
          <w:rFonts w:hint="eastAsia"/>
          <w:sz w:val="28"/>
        </w:rPr>
        <w:t>可根据工程的具体情况确定。</w:t>
      </w:r>
    </w:p>
    <w:p>
      <w:pPr>
        <w:pStyle w:val="52"/>
        <w:numPr>
          <w:ilvl w:val="0"/>
          <w:numId w:val="2"/>
        </w:numPr>
        <w:ind w:firstLineChars="0"/>
        <w:rPr>
          <w:b/>
          <w:sz w:val="28"/>
        </w:rPr>
      </w:pPr>
      <w:r>
        <w:rPr>
          <w:rFonts w:hint="eastAsia"/>
          <w:b/>
          <w:sz w:val="28"/>
        </w:rPr>
        <w:t>《水闸设计规范》（SL265-2016）及《广东省水利工程管理条例》（2019 年修订）</w:t>
      </w:r>
    </w:p>
    <w:p>
      <w:pPr>
        <w:ind w:firstLine="562"/>
        <w:rPr>
          <w:sz w:val="28"/>
        </w:rPr>
      </w:pPr>
      <w:r>
        <w:rPr>
          <w:rFonts w:hint="eastAsia"/>
          <w:b/>
          <w:sz w:val="28"/>
        </w:rPr>
        <w:t>《水闸设计规范》（SL265-2016）及《广东省水利工程管理条例》（2019 年修订）</w:t>
      </w:r>
      <w:r>
        <w:rPr>
          <w:rFonts w:hint="eastAsia"/>
          <w:sz w:val="28"/>
        </w:rPr>
        <w:t>分别对</w:t>
      </w:r>
      <w:r>
        <w:rPr>
          <w:sz w:val="28"/>
        </w:rPr>
        <w:t>大中型水闸进行了规定</w:t>
      </w:r>
      <w:r>
        <w:rPr>
          <w:rFonts w:hint="eastAsia"/>
          <w:sz w:val="28"/>
        </w:rPr>
        <w:t>，</w:t>
      </w:r>
      <w:r>
        <w:rPr>
          <w:sz w:val="28"/>
        </w:rPr>
        <w:t>小型水闸未</w:t>
      </w:r>
      <w:r>
        <w:rPr>
          <w:rFonts w:hint="eastAsia"/>
          <w:sz w:val="28"/>
        </w:rPr>
        <w:t>做</w:t>
      </w:r>
      <w:r>
        <w:rPr>
          <w:sz w:val="28"/>
        </w:rPr>
        <w:t>规定</w:t>
      </w:r>
      <w:r>
        <w:rPr>
          <w:rFonts w:hint="eastAsia"/>
          <w:sz w:val="28"/>
        </w:rPr>
        <w:t>：</w:t>
      </w:r>
    </w:p>
    <w:p>
      <w:pPr>
        <w:ind w:firstLine="560"/>
        <w:rPr>
          <w:sz w:val="28"/>
        </w:rPr>
      </w:pPr>
      <w:r>
        <w:rPr>
          <w:rFonts w:hint="eastAsia"/>
          <w:sz w:val="28"/>
        </w:rPr>
        <w:t>其中</w:t>
      </w:r>
      <w:r>
        <w:rPr>
          <w:rFonts w:hint="eastAsia"/>
          <w:b/>
          <w:sz w:val="28"/>
        </w:rPr>
        <w:t>《水闸设计规范》（SL265-2016）规定</w:t>
      </w:r>
      <w:r>
        <w:rPr>
          <w:sz w:val="28"/>
        </w:rPr>
        <w:t>，</w:t>
      </w:r>
      <w:r>
        <w:rPr>
          <w:rFonts w:hint="eastAsia"/>
          <w:sz w:val="28"/>
        </w:rPr>
        <w:t>中型水闸</w:t>
      </w:r>
      <w:r>
        <w:rPr>
          <w:sz w:val="28"/>
        </w:rPr>
        <w:t>管理范围</w:t>
      </w:r>
      <w:r>
        <w:rPr>
          <w:rFonts w:hint="eastAsia"/>
          <w:sz w:val="28"/>
        </w:rPr>
        <w:t>为水闸工程建筑物覆盖范围以外，上下游边界以外宽度不大于150，两侧边界以外不大于40m；</w:t>
      </w:r>
      <w:r>
        <w:rPr>
          <w:sz w:val="28"/>
        </w:rPr>
        <w:t>保护范围为</w:t>
      </w:r>
      <w:r>
        <w:rPr>
          <w:rFonts w:hint="eastAsia"/>
          <w:sz w:val="28"/>
        </w:rPr>
        <w:t>在管理范围边界线以外划定的一定范围，中型上下游单侧200~300m，两侧单侧100~200m；</w:t>
      </w:r>
    </w:p>
    <w:p>
      <w:pPr>
        <w:ind w:firstLine="562"/>
        <w:rPr>
          <w:sz w:val="28"/>
        </w:rPr>
      </w:pPr>
      <w:r>
        <w:rPr>
          <w:rFonts w:hint="eastAsia"/>
          <w:b/>
          <w:sz w:val="28"/>
        </w:rPr>
        <w:t>《广东省水利工程管理条例》（2019 年修订）规定，</w:t>
      </w:r>
      <w:r>
        <w:rPr>
          <w:rFonts w:hint="eastAsia"/>
          <w:sz w:val="28"/>
        </w:rPr>
        <w:t>中型水闸管理范围</w:t>
      </w:r>
      <w:r>
        <w:rPr>
          <w:sz w:val="28"/>
        </w:rPr>
        <w:t>为</w:t>
      </w:r>
      <w:r>
        <w:rPr>
          <w:rFonts w:hint="eastAsia"/>
          <w:sz w:val="28"/>
        </w:rPr>
        <w:t>上、下游五十至三百米，两侧宽度三十至五十米，</w:t>
      </w:r>
      <w:r>
        <w:rPr>
          <w:sz w:val="28"/>
        </w:rPr>
        <w:t>保护范围</w:t>
      </w:r>
      <w:r>
        <w:rPr>
          <w:rFonts w:hint="eastAsia"/>
          <w:sz w:val="28"/>
        </w:rPr>
        <w:t>对主体</w:t>
      </w:r>
      <w:r>
        <w:rPr>
          <w:sz w:val="28"/>
        </w:rPr>
        <w:t>建筑物不少于</w:t>
      </w:r>
      <w:r>
        <w:rPr>
          <w:rFonts w:hint="eastAsia"/>
          <w:sz w:val="28"/>
        </w:rPr>
        <w:t>二百米，其他附属建筑物不少于五十米。</w:t>
      </w:r>
    </w:p>
    <w:p>
      <w:pPr>
        <w:ind w:firstLine="560"/>
        <w:rPr>
          <w:sz w:val="28"/>
        </w:rPr>
      </w:pPr>
      <w:r>
        <w:rPr>
          <w:rFonts w:hint="eastAsia"/>
          <w:sz w:val="28"/>
        </w:rPr>
        <w:t>两个</w:t>
      </w:r>
      <w:r>
        <w:rPr>
          <w:sz w:val="28"/>
        </w:rPr>
        <w:t>规范</w:t>
      </w:r>
      <w:r>
        <w:rPr>
          <w:rFonts w:hint="eastAsia"/>
          <w:sz w:val="28"/>
        </w:rPr>
        <w:t>要求及差异</w:t>
      </w:r>
      <w:r>
        <w:rPr>
          <w:sz w:val="28"/>
        </w:rPr>
        <w:t>对</w:t>
      </w:r>
      <w:r>
        <w:rPr>
          <w:rFonts w:hint="eastAsia"/>
          <w:sz w:val="28"/>
        </w:rPr>
        <w:t>比见表5。《广东省水利基础设施空间布局规划辅导材料》对大</w:t>
      </w:r>
      <w:r>
        <w:rPr>
          <w:sz w:val="28"/>
        </w:rPr>
        <w:t>中型水闸规定参照</w:t>
      </w:r>
      <w:r>
        <w:rPr>
          <w:rFonts w:hint="eastAsia"/>
          <w:sz w:val="28"/>
        </w:rPr>
        <w:t>《水闸设计规范》（SL265-2016）要求，</w:t>
      </w:r>
      <w:r>
        <w:rPr>
          <w:sz w:val="28"/>
        </w:rPr>
        <w:t>保持一致</w:t>
      </w:r>
      <w:r>
        <w:rPr>
          <w:rFonts w:hint="eastAsia"/>
          <w:sz w:val="28"/>
        </w:rPr>
        <w:t>，</w:t>
      </w:r>
      <w:r>
        <w:rPr>
          <w:sz w:val="28"/>
        </w:rPr>
        <w:t>其</w:t>
      </w:r>
      <w:r>
        <w:rPr>
          <w:rFonts w:hint="eastAsia"/>
          <w:sz w:val="28"/>
        </w:rPr>
        <w:t>划定示例</w:t>
      </w:r>
      <w:r>
        <w:rPr>
          <w:sz w:val="28"/>
        </w:rPr>
        <w:t>如下。</w:t>
      </w:r>
    </w:p>
    <w:p>
      <w:pPr>
        <w:ind w:firstLine="480"/>
        <w:jc w:val="center"/>
        <w:rPr>
          <w:sz w:val="28"/>
        </w:rPr>
      </w:pPr>
      <w:r>
        <w:drawing>
          <wp:inline distT="0" distB="0" distL="0" distR="0">
            <wp:extent cx="6007100" cy="408241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6014290" cy="4087375"/>
                    </a:xfrm>
                    <a:prstGeom prst="rect">
                      <a:avLst/>
                    </a:prstGeom>
                  </pic:spPr>
                </pic:pic>
              </a:graphicData>
            </a:graphic>
          </wp:inline>
        </w:drawing>
      </w:r>
    </w:p>
    <w:p>
      <w:pPr>
        <w:pStyle w:val="23"/>
        <w:rPr>
          <w:sz w:val="28"/>
          <w:szCs w:val="24"/>
        </w:rPr>
      </w:pPr>
      <w:r>
        <w:rPr>
          <w:rFonts w:hint="eastAsia"/>
          <w:sz w:val="28"/>
          <w:szCs w:val="24"/>
        </w:rPr>
        <w:t>图</w:t>
      </w:r>
      <w:r>
        <w:rPr>
          <w:sz w:val="28"/>
          <w:szCs w:val="24"/>
        </w:rPr>
        <w:t>4-2</w:t>
      </w:r>
      <w:r>
        <w:rPr>
          <w:rFonts w:hint="eastAsia"/>
          <w:sz w:val="28"/>
          <w:szCs w:val="24"/>
        </w:rPr>
        <w:t xml:space="preserve"> 练江水闸管理范围及保护范围划定示例图（摘自《广东省水利基础设施空间布局规划辅导材料》）</w:t>
      </w:r>
    </w:p>
    <w:p>
      <w:pPr>
        <w:pStyle w:val="52"/>
        <w:numPr>
          <w:ilvl w:val="0"/>
          <w:numId w:val="2"/>
        </w:numPr>
        <w:ind w:firstLineChars="0"/>
        <w:rPr>
          <w:b/>
          <w:sz w:val="28"/>
        </w:rPr>
      </w:pPr>
      <w:r>
        <w:rPr>
          <w:rFonts w:hint="eastAsia"/>
          <w:b/>
          <w:sz w:val="28"/>
        </w:rPr>
        <w:t>本项目</w:t>
      </w:r>
      <w:r>
        <w:rPr>
          <w:b/>
          <w:sz w:val="28"/>
        </w:rPr>
        <w:t>采用</w:t>
      </w:r>
      <w:r>
        <w:rPr>
          <w:rFonts w:hint="eastAsia"/>
          <w:b/>
          <w:sz w:val="28"/>
        </w:rPr>
        <w:t>划定宽度</w:t>
      </w:r>
    </w:p>
    <w:p>
      <w:pPr>
        <w:ind w:firstLine="560"/>
        <w:rPr>
          <w:sz w:val="28"/>
        </w:rPr>
      </w:pPr>
      <w:r>
        <w:rPr>
          <w:rFonts w:hint="eastAsia"/>
          <w:sz w:val="28"/>
        </w:rPr>
        <w:t>因此</w:t>
      </w:r>
      <w:r>
        <w:rPr>
          <w:sz w:val="28"/>
        </w:rPr>
        <w:t>，</w:t>
      </w:r>
      <w:r>
        <w:rPr>
          <w:rFonts w:hint="eastAsia"/>
          <w:sz w:val="28"/>
        </w:rPr>
        <w:t>综合各规范及管理条例要求、越秀</w:t>
      </w:r>
      <w:r>
        <w:rPr>
          <w:sz w:val="28"/>
        </w:rPr>
        <w:t>区地理位置、建筑物重要程度</w:t>
      </w:r>
      <w:r>
        <w:rPr>
          <w:rFonts w:hint="eastAsia"/>
          <w:sz w:val="28"/>
        </w:rPr>
        <w:t>，东濠涌、沙河涌两座水闸，两侧边界以外宽度按照40m，上、下游边界以外宽度单侧150m划定；保护范围在管理范围线基础上外延，为水闸</w:t>
      </w:r>
      <w:r>
        <w:rPr>
          <w:sz w:val="28"/>
        </w:rPr>
        <w:t>两侧</w:t>
      </w:r>
      <w:r>
        <w:rPr>
          <w:rFonts w:hint="eastAsia"/>
          <w:sz w:val="28"/>
        </w:rPr>
        <w:t>100</w:t>
      </w:r>
      <w:r>
        <w:rPr>
          <w:sz w:val="28"/>
        </w:rPr>
        <w:t>m</w:t>
      </w:r>
      <w:r>
        <w:rPr>
          <w:rFonts w:hint="eastAsia"/>
          <w:sz w:val="28"/>
        </w:rPr>
        <w:t>，上下游单侧200m</w:t>
      </w:r>
      <w:r>
        <w:rPr>
          <w:sz w:val="28"/>
        </w:rPr>
        <w:t>划定</w:t>
      </w:r>
      <w:r>
        <w:rPr>
          <w:rFonts w:hint="eastAsia"/>
          <w:sz w:val="28"/>
        </w:rPr>
        <w:t>，</w:t>
      </w:r>
      <w:r>
        <w:rPr>
          <w:sz w:val="28"/>
        </w:rPr>
        <w:t>与</w:t>
      </w:r>
      <w:r>
        <w:rPr>
          <w:rFonts w:hint="eastAsia"/>
          <w:sz w:val="28"/>
        </w:rPr>
        <w:t>最新《广东省水利基础设施空间布局规划》的</w:t>
      </w:r>
      <w:r>
        <w:rPr>
          <w:sz w:val="28"/>
        </w:rPr>
        <w:t>要求保持一致。</w:t>
      </w:r>
    </w:p>
    <w:p>
      <w:pPr>
        <w:ind w:firstLine="560"/>
        <w:rPr>
          <w:sz w:val="28"/>
        </w:rPr>
      </w:pPr>
      <w:r>
        <w:rPr>
          <w:rFonts w:hint="eastAsia"/>
          <w:sz w:val="28"/>
        </w:rPr>
        <w:t>其他小型水闸，按照两侧边界以外宽度按照30m，上、下游边界以外宽度单侧</w:t>
      </w:r>
      <w:r>
        <w:rPr>
          <w:sz w:val="28"/>
        </w:rPr>
        <w:t>5</w:t>
      </w:r>
      <w:r>
        <w:rPr>
          <w:rFonts w:hint="eastAsia"/>
          <w:sz w:val="28"/>
        </w:rPr>
        <w:t>0m划定，保护范围在管理范围线基础上外延，两侧边界以外宽度按照50m，上、下游边界以外宽度单侧100m。</w:t>
      </w:r>
    </w:p>
    <w:p>
      <w:pPr>
        <w:ind w:firstLine="562"/>
        <w:rPr>
          <w:b/>
          <w:sz w:val="28"/>
        </w:rPr>
      </w:pPr>
      <w:r>
        <w:rPr>
          <w:rFonts w:hint="eastAsia"/>
          <w:b/>
          <w:sz w:val="28"/>
        </w:rPr>
        <w:t>（</w:t>
      </w:r>
      <w:r>
        <w:rPr>
          <w:b/>
          <w:sz w:val="28"/>
        </w:rPr>
        <w:t>3</w:t>
      </w:r>
      <w:r>
        <w:rPr>
          <w:rFonts w:hint="eastAsia"/>
          <w:b/>
          <w:sz w:val="28"/>
        </w:rPr>
        <w:t>）</w:t>
      </w:r>
      <w:r>
        <w:rPr>
          <w:b/>
          <w:sz w:val="28"/>
        </w:rPr>
        <w:t>泵站</w:t>
      </w:r>
      <w:r>
        <w:rPr>
          <w:rFonts w:hint="eastAsia"/>
          <w:b/>
          <w:sz w:val="28"/>
        </w:rPr>
        <w:t>划定</w:t>
      </w:r>
    </w:p>
    <w:p>
      <w:pPr>
        <w:ind w:firstLine="562"/>
        <w:rPr>
          <w:b/>
          <w:sz w:val="28"/>
        </w:rPr>
      </w:pPr>
      <w:r>
        <w:rPr>
          <w:rFonts w:hint="eastAsia"/>
          <w:b/>
          <w:sz w:val="28"/>
        </w:rPr>
        <w:t>1）划分</w:t>
      </w:r>
      <w:r>
        <w:rPr>
          <w:b/>
          <w:sz w:val="28"/>
        </w:rPr>
        <w:t>工程等级</w:t>
      </w:r>
    </w:p>
    <w:p>
      <w:pPr>
        <w:ind w:firstLine="560"/>
        <w:rPr>
          <w:sz w:val="28"/>
        </w:rPr>
      </w:pPr>
      <w:r>
        <w:rPr>
          <w:rFonts w:hint="eastAsia"/>
          <w:sz w:val="28"/>
        </w:rPr>
        <w:t>根据《水利水电工程等级划分及洪水标准（SL252-2017）》及《泵站</w:t>
      </w:r>
      <w:r>
        <w:rPr>
          <w:sz w:val="28"/>
        </w:rPr>
        <w:t>设计规范</w:t>
      </w:r>
      <w:r>
        <w:rPr>
          <w:rFonts w:hint="eastAsia"/>
          <w:sz w:val="28"/>
        </w:rPr>
        <w:t>》（</w:t>
      </w:r>
      <w:r>
        <w:rPr>
          <w:sz w:val="28"/>
        </w:rPr>
        <w:t>GB 50265-2010</w:t>
      </w:r>
      <w:r>
        <w:rPr>
          <w:rFonts w:hint="eastAsia"/>
          <w:sz w:val="28"/>
        </w:rPr>
        <w:t>），</w:t>
      </w:r>
      <w:r>
        <w:rPr>
          <w:sz w:val="28"/>
        </w:rPr>
        <w:t>东濠涌排涝泵站</w:t>
      </w:r>
      <w:r>
        <w:rPr>
          <w:rFonts w:hint="eastAsia"/>
          <w:sz w:val="28"/>
        </w:rPr>
        <w:t>为</w:t>
      </w:r>
      <w:r>
        <w:rPr>
          <w:sz w:val="28"/>
        </w:rPr>
        <w:t>大（</w:t>
      </w:r>
      <w:r>
        <w:rPr>
          <w:rFonts w:hint="eastAsia"/>
          <w:sz w:val="28"/>
        </w:rPr>
        <w:t>2</w:t>
      </w:r>
      <w:r>
        <w:rPr>
          <w:sz w:val="28"/>
        </w:rPr>
        <w:t>）</w:t>
      </w:r>
      <w:r>
        <w:rPr>
          <w:rFonts w:hint="eastAsia"/>
          <w:sz w:val="28"/>
        </w:rPr>
        <w:t>型</w:t>
      </w:r>
      <w:r>
        <w:rPr>
          <w:sz w:val="28"/>
        </w:rPr>
        <w:t>泵站</w:t>
      </w:r>
      <w:r>
        <w:rPr>
          <w:rFonts w:hint="eastAsia"/>
          <w:sz w:val="28"/>
        </w:rPr>
        <w:t>，</w:t>
      </w:r>
      <w:r>
        <w:rPr>
          <w:sz w:val="28"/>
        </w:rPr>
        <w:t>东濠涌补水泵站</w:t>
      </w:r>
      <w:r>
        <w:rPr>
          <w:rFonts w:hint="eastAsia"/>
          <w:sz w:val="28"/>
        </w:rPr>
        <w:t>、</w:t>
      </w:r>
      <w:r>
        <w:rPr>
          <w:sz w:val="28"/>
        </w:rPr>
        <w:t>东山湖</w:t>
      </w:r>
      <w:r>
        <w:rPr>
          <w:rFonts w:hint="eastAsia"/>
          <w:sz w:val="28"/>
        </w:rPr>
        <w:t>泵站</w:t>
      </w:r>
      <w:r>
        <w:rPr>
          <w:sz w:val="28"/>
        </w:rPr>
        <w:t>为小型泵站</w:t>
      </w:r>
      <w:r>
        <w:rPr>
          <w:rFonts w:hint="eastAsia"/>
          <w:sz w:val="28"/>
        </w:rPr>
        <w:t>，其中</w:t>
      </w:r>
      <w:r>
        <w:rPr>
          <w:sz w:val="28"/>
        </w:rPr>
        <w:t>东山湖</w:t>
      </w:r>
      <w:r>
        <w:rPr>
          <w:rFonts w:hint="eastAsia"/>
          <w:sz w:val="28"/>
        </w:rPr>
        <w:t>泵站</w:t>
      </w:r>
      <w:r>
        <w:rPr>
          <w:sz w:val="28"/>
        </w:rPr>
        <w:t>与</w:t>
      </w:r>
      <w:r>
        <w:rPr>
          <w:rFonts w:hint="eastAsia"/>
          <w:sz w:val="28"/>
        </w:rPr>
        <w:t>5号闸</w:t>
      </w:r>
      <w:r>
        <w:rPr>
          <w:sz w:val="28"/>
        </w:rPr>
        <w:t>一体建设，在</w:t>
      </w:r>
      <w:r>
        <w:rPr>
          <w:rFonts w:hint="eastAsia"/>
          <w:sz w:val="28"/>
        </w:rPr>
        <w:t>水闸</w:t>
      </w:r>
      <w:r>
        <w:rPr>
          <w:sz w:val="28"/>
        </w:rPr>
        <w:t>中一并划定。</w:t>
      </w:r>
    </w:p>
    <w:p>
      <w:pPr>
        <w:ind w:firstLine="562"/>
        <w:rPr>
          <w:b/>
          <w:sz w:val="28"/>
        </w:rPr>
      </w:pPr>
      <w:r>
        <w:rPr>
          <w:rFonts w:hint="eastAsia"/>
          <w:b/>
          <w:sz w:val="28"/>
        </w:rPr>
        <w:t>2）划定管理范围及</w:t>
      </w:r>
      <w:r>
        <w:rPr>
          <w:b/>
          <w:sz w:val="28"/>
        </w:rPr>
        <w:t>保护范围</w:t>
      </w:r>
      <w:r>
        <w:rPr>
          <w:rFonts w:hint="eastAsia"/>
          <w:b/>
          <w:sz w:val="28"/>
        </w:rPr>
        <w:t>外扩</w:t>
      </w:r>
      <w:r>
        <w:rPr>
          <w:b/>
          <w:sz w:val="28"/>
        </w:rPr>
        <w:t>范围确定</w:t>
      </w:r>
    </w:p>
    <w:p>
      <w:pPr>
        <w:pStyle w:val="52"/>
        <w:numPr>
          <w:ilvl w:val="0"/>
          <w:numId w:val="2"/>
        </w:numPr>
        <w:ind w:firstLineChars="0"/>
        <w:rPr>
          <w:b/>
          <w:sz w:val="28"/>
        </w:rPr>
      </w:pPr>
      <w:r>
        <w:rPr>
          <w:rFonts w:hint="eastAsia"/>
          <w:b/>
          <w:sz w:val="28"/>
        </w:rPr>
        <w:t>安徽省、浙江省等省份对泵站管理范围划定的规定</w:t>
      </w:r>
    </w:p>
    <w:p>
      <w:pPr>
        <w:ind w:firstLine="560"/>
        <w:rPr>
          <w:sz w:val="28"/>
        </w:rPr>
      </w:pPr>
      <w:r>
        <w:rPr>
          <w:rFonts w:hint="eastAsia"/>
          <w:sz w:val="28"/>
        </w:rPr>
        <w:t>广东</w:t>
      </w:r>
      <w:r>
        <w:rPr>
          <w:sz w:val="28"/>
        </w:rPr>
        <w:t>省</w:t>
      </w:r>
      <w:r>
        <w:rPr>
          <w:rFonts w:hint="eastAsia"/>
          <w:sz w:val="28"/>
        </w:rPr>
        <w:t>相关条例规定</w:t>
      </w:r>
      <w:r>
        <w:rPr>
          <w:sz w:val="28"/>
        </w:rPr>
        <w:t>未对</w:t>
      </w:r>
      <w:r>
        <w:rPr>
          <w:rFonts w:hint="eastAsia"/>
          <w:sz w:val="28"/>
        </w:rPr>
        <w:t>泵站</w:t>
      </w:r>
      <w:r>
        <w:rPr>
          <w:sz w:val="28"/>
        </w:rPr>
        <w:t>做出规定</w:t>
      </w:r>
      <w:r>
        <w:rPr>
          <w:rFonts w:hint="eastAsia"/>
          <w:sz w:val="28"/>
        </w:rPr>
        <w:t>，</w:t>
      </w:r>
      <w:r>
        <w:rPr>
          <w:sz w:val="28"/>
        </w:rPr>
        <w:t>根据安徽省、浙江省等</w:t>
      </w:r>
      <w:r>
        <w:rPr>
          <w:rFonts w:hint="eastAsia"/>
          <w:sz w:val="28"/>
        </w:rPr>
        <w:t>对</w:t>
      </w:r>
      <w:r>
        <w:rPr>
          <w:sz w:val="28"/>
        </w:rPr>
        <w:t>泵站的规定，大型泵站</w:t>
      </w:r>
      <w:r>
        <w:rPr>
          <w:rFonts w:hint="eastAsia"/>
          <w:sz w:val="28"/>
        </w:rPr>
        <w:t>管理范围</w:t>
      </w:r>
      <w:r>
        <w:rPr>
          <w:sz w:val="28"/>
        </w:rPr>
        <w:t>为</w:t>
      </w:r>
      <w:r>
        <w:rPr>
          <w:rFonts w:hint="eastAsia"/>
          <w:sz w:val="28"/>
        </w:rPr>
        <w:t>前池进水口外50米，降压泵站四轴50米地带；中型</w:t>
      </w:r>
      <w:r>
        <w:rPr>
          <w:sz w:val="28"/>
        </w:rPr>
        <w:t>泵站管理范围为</w:t>
      </w:r>
      <w:r>
        <w:rPr>
          <w:rFonts w:hint="eastAsia"/>
          <w:sz w:val="28"/>
        </w:rPr>
        <w:t>前池进水口外25米，降压泵站四轴25米地带；同时</w:t>
      </w:r>
      <w:r>
        <w:rPr>
          <w:sz w:val="28"/>
        </w:rPr>
        <w:t>规定保护</w:t>
      </w:r>
      <w:r>
        <w:rPr>
          <w:rFonts w:hint="eastAsia"/>
          <w:sz w:val="28"/>
        </w:rPr>
        <w:t>范围为管理范围以外如有影响水闸、泵站安全的爆破等作业，根据实际情况划定保护范围。</w:t>
      </w:r>
    </w:p>
    <w:p>
      <w:pPr>
        <w:pStyle w:val="52"/>
        <w:numPr>
          <w:ilvl w:val="0"/>
          <w:numId w:val="2"/>
        </w:numPr>
        <w:ind w:firstLineChars="0"/>
        <w:rPr>
          <w:b/>
          <w:sz w:val="28"/>
        </w:rPr>
      </w:pPr>
      <w:r>
        <w:rPr>
          <w:rFonts w:hint="eastAsia"/>
          <w:b/>
          <w:sz w:val="28"/>
        </w:rPr>
        <w:t>广东省水利基础设施空间布局规划的</w:t>
      </w:r>
      <w:r>
        <w:rPr>
          <w:b/>
          <w:sz w:val="28"/>
        </w:rPr>
        <w:t>规定</w:t>
      </w:r>
    </w:p>
    <w:p>
      <w:pPr>
        <w:ind w:firstLine="560"/>
        <w:rPr>
          <w:sz w:val="28"/>
        </w:rPr>
      </w:pPr>
      <w:r>
        <w:rPr>
          <w:rFonts w:hint="eastAsia"/>
          <w:sz w:val="28"/>
        </w:rPr>
        <w:t>根据《广东省水利基础设施空间布局规划辅导材料》</w:t>
      </w:r>
      <w:r>
        <w:rPr>
          <w:sz w:val="28"/>
        </w:rPr>
        <w:t>，</w:t>
      </w:r>
      <w:r>
        <w:rPr>
          <w:rFonts w:hint="eastAsia"/>
          <w:sz w:val="28"/>
        </w:rPr>
        <w:t>泵站划定</w:t>
      </w:r>
      <w:r>
        <w:rPr>
          <w:sz w:val="28"/>
        </w:rPr>
        <w:t>参照</w:t>
      </w:r>
      <w:r>
        <w:rPr>
          <w:rFonts w:hint="eastAsia"/>
          <w:sz w:val="28"/>
        </w:rPr>
        <w:t>水闸标准划定。</w:t>
      </w:r>
    </w:p>
    <w:p>
      <w:pPr>
        <w:pStyle w:val="52"/>
        <w:numPr>
          <w:ilvl w:val="0"/>
          <w:numId w:val="2"/>
        </w:numPr>
        <w:ind w:firstLineChars="0"/>
        <w:rPr>
          <w:b/>
          <w:sz w:val="28"/>
        </w:rPr>
      </w:pPr>
      <w:r>
        <w:rPr>
          <w:rFonts w:hint="eastAsia"/>
          <w:b/>
          <w:sz w:val="28"/>
        </w:rPr>
        <w:t>本项目</w:t>
      </w:r>
      <w:r>
        <w:rPr>
          <w:b/>
          <w:sz w:val="28"/>
        </w:rPr>
        <w:t>采用</w:t>
      </w:r>
      <w:r>
        <w:rPr>
          <w:rFonts w:hint="eastAsia"/>
          <w:b/>
          <w:sz w:val="28"/>
        </w:rPr>
        <w:t>划定宽度</w:t>
      </w:r>
    </w:p>
    <w:p>
      <w:pPr>
        <w:ind w:firstLine="560"/>
        <w:rPr>
          <w:sz w:val="28"/>
        </w:rPr>
      </w:pPr>
      <w:r>
        <w:rPr>
          <w:rFonts w:hint="eastAsia"/>
          <w:sz w:val="28"/>
        </w:rPr>
        <w:t>因此</w:t>
      </w:r>
      <w:r>
        <w:rPr>
          <w:sz w:val="28"/>
        </w:rPr>
        <w:t>，</w:t>
      </w:r>
      <w:r>
        <w:rPr>
          <w:rFonts w:hint="eastAsia"/>
          <w:sz w:val="28"/>
        </w:rPr>
        <w:t>综合</w:t>
      </w:r>
      <w:r>
        <w:rPr>
          <w:sz w:val="28"/>
        </w:rPr>
        <w:t>上述规定，</w:t>
      </w:r>
      <w:r>
        <w:rPr>
          <w:rFonts w:hint="eastAsia"/>
          <w:sz w:val="28"/>
        </w:rPr>
        <w:t>东濠涌</w:t>
      </w:r>
      <w:r>
        <w:rPr>
          <w:sz w:val="28"/>
        </w:rPr>
        <w:t>泵站</w:t>
      </w:r>
      <w:r>
        <w:rPr>
          <w:rFonts w:hint="eastAsia"/>
          <w:sz w:val="28"/>
        </w:rPr>
        <w:t>根据</w:t>
      </w:r>
      <w:r>
        <w:rPr>
          <w:sz w:val="28"/>
        </w:rPr>
        <w:t>其装机流量</w:t>
      </w:r>
      <w:r>
        <w:rPr>
          <w:rFonts w:hint="eastAsia"/>
          <w:sz w:val="28"/>
        </w:rPr>
        <w:t>判定为</w:t>
      </w:r>
      <w:r>
        <w:rPr>
          <w:sz w:val="28"/>
        </w:rPr>
        <w:t>大（</w:t>
      </w:r>
      <w:r>
        <w:rPr>
          <w:rFonts w:hint="eastAsia"/>
          <w:sz w:val="28"/>
        </w:rPr>
        <w:t>2</w:t>
      </w:r>
      <w:r>
        <w:rPr>
          <w:sz w:val="28"/>
        </w:rPr>
        <w:t>）</w:t>
      </w:r>
      <w:r>
        <w:rPr>
          <w:rFonts w:hint="eastAsia"/>
          <w:sz w:val="28"/>
        </w:rPr>
        <w:t>型</w:t>
      </w:r>
      <w:r>
        <w:rPr>
          <w:sz w:val="28"/>
        </w:rPr>
        <w:t>泵站，按照大型泵站，</w:t>
      </w:r>
      <w:r>
        <w:rPr>
          <w:rFonts w:hint="eastAsia"/>
          <w:sz w:val="28"/>
        </w:rPr>
        <w:t>即</w:t>
      </w:r>
      <w:r>
        <w:rPr>
          <w:sz w:val="28"/>
        </w:rPr>
        <w:t>泵站</w:t>
      </w:r>
      <w:r>
        <w:rPr>
          <w:rFonts w:hint="eastAsia"/>
          <w:sz w:val="28"/>
        </w:rPr>
        <w:t>范围</w:t>
      </w:r>
      <w:r>
        <w:rPr>
          <w:sz w:val="28"/>
        </w:rPr>
        <w:t>外扩</w:t>
      </w:r>
      <w:r>
        <w:rPr>
          <w:rFonts w:hint="eastAsia"/>
          <w:sz w:val="28"/>
        </w:rPr>
        <w:t>50</w:t>
      </w:r>
      <w:r>
        <w:rPr>
          <w:sz w:val="28"/>
        </w:rPr>
        <w:t>m</w:t>
      </w:r>
      <w:r>
        <w:rPr>
          <w:rFonts w:hint="eastAsia"/>
          <w:sz w:val="28"/>
        </w:rPr>
        <w:t>作为</w:t>
      </w:r>
      <w:r>
        <w:rPr>
          <w:sz w:val="28"/>
        </w:rPr>
        <w:t>其管理范围，保护范围</w:t>
      </w:r>
      <w:r>
        <w:rPr>
          <w:rFonts w:hint="eastAsia"/>
          <w:sz w:val="28"/>
        </w:rPr>
        <w:t>以</w:t>
      </w:r>
      <w:r>
        <w:rPr>
          <w:sz w:val="28"/>
        </w:rPr>
        <w:t>管理范围外扩</w:t>
      </w:r>
      <w:r>
        <w:rPr>
          <w:rFonts w:hint="eastAsia"/>
          <w:sz w:val="28"/>
        </w:rPr>
        <w:t>100</w:t>
      </w:r>
      <w:r>
        <w:rPr>
          <w:sz w:val="28"/>
        </w:rPr>
        <w:t>m划定。</w:t>
      </w:r>
      <w:r>
        <w:rPr>
          <w:rFonts w:hint="eastAsia"/>
          <w:sz w:val="28"/>
        </w:rPr>
        <w:t>东濠涌</w:t>
      </w:r>
      <w:r>
        <w:rPr>
          <w:sz w:val="28"/>
        </w:rPr>
        <w:t>补水泵站</w:t>
      </w:r>
      <w:r>
        <w:rPr>
          <w:rFonts w:hint="eastAsia"/>
          <w:sz w:val="28"/>
        </w:rPr>
        <w:t>为小</w:t>
      </w:r>
      <w:r>
        <w:rPr>
          <w:sz w:val="28"/>
        </w:rPr>
        <w:t>型泵站，</w:t>
      </w:r>
      <w:r>
        <w:rPr>
          <w:rFonts w:hint="eastAsia"/>
          <w:sz w:val="28"/>
        </w:rPr>
        <w:t>泵站范围外扩</w:t>
      </w:r>
      <w:r>
        <w:rPr>
          <w:sz w:val="28"/>
        </w:rPr>
        <w:t>25</w:t>
      </w:r>
      <w:r>
        <w:rPr>
          <w:rFonts w:hint="eastAsia"/>
          <w:sz w:val="28"/>
        </w:rPr>
        <w:t>m作为其管理范围，保护范围以管理范围外扩</w:t>
      </w:r>
      <w:r>
        <w:rPr>
          <w:sz w:val="28"/>
        </w:rPr>
        <w:t>10</w:t>
      </w:r>
      <w:r>
        <w:rPr>
          <w:rFonts w:hint="eastAsia"/>
          <w:sz w:val="28"/>
        </w:rPr>
        <w:t>0m划定。东山湖</w:t>
      </w:r>
      <w:r>
        <w:rPr>
          <w:sz w:val="28"/>
        </w:rPr>
        <w:t>泵站</w:t>
      </w:r>
      <w:r>
        <w:rPr>
          <w:rFonts w:hint="eastAsia"/>
          <w:sz w:val="28"/>
        </w:rPr>
        <w:t>与东山湖5号闸</w:t>
      </w:r>
      <w:r>
        <w:rPr>
          <w:sz w:val="28"/>
        </w:rPr>
        <w:t>合并划定。</w:t>
      </w:r>
    </w:p>
    <w:p>
      <w:pPr>
        <w:ind w:firstLine="562"/>
        <w:rPr>
          <w:b/>
          <w:sz w:val="28"/>
        </w:rPr>
      </w:pPr>
      <w:r>
        <w:rPr>
          <w:rFonts w:hint="eastAsia"/>
          <w:b/>
          <w:sz w:val="28"/>
        </w:rPr>
        <w:t>（</w:t>
      </w:r>
      <w:r>
        <w:rPr>
          <w:b/>
          <w:sz w:val="28"/>
        </w:rPr>
        <w:t>4</w:t>
      </w:r>
      <w:r>
        <w:rPr>
          <w:rFonts w:hint="eastAsia"/>
          <w:b/>
          <w:sz w:val="28"/>
        </w:rPr>
        <w:t>）堤防划定</w:t>
      </w:r>
    </w:p>
    <w:p>
      <w:pPr>
        <w:ind w:firstLine="562"/>
        <w:rPr>
          <w:b/>
          <w:sz w:val="28"/>
        </w:rPr>
      </w:pPr>
      <w:r>
        <w:rPr>
          <w:rFonts w:hint="eastAsia"/>
          <w:b/>
          <w:sz w:val="28"/>
        </w:rPr>
        <w:t>1）划分工程等级</w:t>
      </w:r>
    </w:p>
    <w:p>
      <w:pPr>
        <w:ind w:firstLine="560"/>
        <w:rPr>
          <w:sz w:val="28"/>
        </w:rPr>
      </w:pPr>
      <w:r>
        <w:rPr>
          <w:rFonts w:hint="eastAsia"/>
          <w:sz w:val="28"/>
        </w:rPr>
        <w:t>根据《水利水电工程等级划分及洪水标准（SL252-2017）》及《堤防工程设计规范》（GB502856-2013），越秀区</w:t>
      </w:r>
      <w:r>
        <w:rPr>
          <w:sz w:val="28"/>
        </w:rPr>
        <w:t>内河涌堤防</w:t>
      </w:r>
      <w:r>
        <w:rPr>
          <w:rFonts w:hint="eastAsia"/>
          <w:sz w:val="28"/>
        </w:rPr>
        <w:t>均为4级</w:t>
      </w:r>
      <w:r>
        <w:rPr>
          <w:sz w:val="28"/>
        </w:rPr>
        <w:t>堤防</w:t>
      </w:r>
      <w:r>
        <w:rPr>
          <w:rFonts w:hint="eastAsia"/>
          <w:sz w:val="28"/>
        </w:rPr>
        <w:t>。</w:t>
      </w:r>
    </w:p>
    <w:p>
      <w:pPr>
        <w:ind w:firstLine="562"/>
        <w:rPr>
          <w:b/>
          <w:sz w:val="28"/>
        </w:rPr>
      </w:pPr>
      <w:r>
        <w:rPr>
          <w:rFonts w:hint="eastAsia"/>
          <w:b/>
          <w:sz w:val="28"/>
        </w:rPr>
        <w:t>2）划定管理范围及保护范围外扩范围确定</w:t>
      </w:r>
    </w:p>
    <w:p>
      <w:pPr>
        <w:ind w:firstLine="560"/>
        <w:rPr>
          <w:sz w:val="28"/>
        </w:rPr>
      </w:pPr>
      <w:r>
        <w:rPr>
          <w:sz w:val="28"/>
        </w:rPr>
        <w:t>根据</w:t>
      </w:r>
      <w:r>
        <w:rPr>
          <w:rFonts w:hint="eastAsia"/>
          <w:sz w:val="28"/>
        </w:rPr>
        <w:t>《堤防工程管理设计规范》（SL170-96）、《堤防工程设计规范》（GB502856-2013）要求</w:t>
      </w:r>
      <w:r>
        <w:rPr>
          <w:sz w:val="28"/>
        </w:rPr>
        <w:t>，其护堤地</w:t>
      </w:r>
      <w:r>
        <w:rPr>
          <w:rFonts w:hint="eastAsia"/>
          <w:sz w:val="28"/>
        </w:rPr>
        <w:t>及</w:t>
      </w:r>
      <w:r>
        <w:rPr>
          <w:sz w:val="28"/>
        </w:rPr>
        <w:t>保护范围宽度规定如下</w:t>
      </w:r>
      <w:r>
        <w:rPr>
          <w:rFonts w:hint="eastAsia"/>
          <w:sz w:val="28"/>
        </w:rPr>
        <w:t>。</w:t>
      </w:r>
    </w:p>
    <w:p>
      <w:pPr>
        <w:pStyle w:val="21"/>
        <w:rPr>
          <w:sz w:val="28"/>
        </w:rPr>
      </w:pPr>
      <w:r>
        <w:rPr>
          <w:rFonts w:hint="eastAsia"/>
          <w:sz w:val="28"/>
        </w:rPr>
        <w:t>表</w:t>
      </w:r>
      <w:r>
        <w:rPr>
          <w:sz w:val="28"/>
        </w:rPr>
        <w:t>4-4 堤防</w:t>
      </w:r>
      <w:r>
        <w:rPr>
          <w:rFonts w:hint="eastAsia"/>
          <w:sz w:val="28"/>
        </w:rPr>
        <w:t>护堤地</w:t>
      </w:r>
      <w:r>
        <w:rPr>
          <w:sz w:val="28"/>
        </w:rPr>
        <w:t>宽度及保护范围宽度规定</w:t>
      </w:r>
    </w:p>
    <w:tbl>
      <w:tblPr>
        <w:tblStyle w:val="12"/>
        <w:tblW w:w="13680" w:type="dxa"/>
        <w:tblInd w:w="-5"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02"/>
        <w:gridCol w:w="1892"/>
        <w:gridCol w:w="1893"/>
        <w:gridCol w:w="1893"/>
        <w:gridCol w:w="4600"/>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402" w:type="dxa"/>
            <w:shd w:val="clear" w:color="auto" w:fill="auto"/>
            <w:noWrap/>
            <w:vAlign w:val="center"/>
          </w:tcPr>
          <w:p>
            <w:pPr>
              <w:pStyle w:val="19"/>
              <w:rPr>
                <w:b/>
                <w:sz w:val="28"/>
              </w:rPr>
            </w:pPr>
            <w:r>
              <w:rPr>
                <w:rFonts w:hint="eastAsia"/>
                <w:b/>
                <w:sz w:val="28"/>
              </w:rPr>
              <w:t>工程级别</w:t>
            </w:r>
          </w:p>
        </w:tc>
        <w:tc>
          <w:tcPr>
            <w:tcW w:w="1892" w:type="dxa"/>
            <w:shd w:val="clear" w:color="auto" w:fill="auto"/>
            <w:noWrap/>
            <w:vAlign w:val="center"/>
          </w:tcPr>
          <w:p>
            <w:pPr>
              <w:pStyle w:val="19"/>
              <w:rPr>
                <w:b/>
                <w:sz w:val="28"/>
              </w:rPr>
            </w:pPr>
            <w:r>
              <w:rPr>
                <w:rFonts w:hint="eastAsia"/>
                <w:b/>
                <w:sz w:val="28"/>
              </w:rPr>
              <w:t>1</w:t>
            </w:r>
          </w:p>
        </w:tc>
        <w:tc>
          <w:tcPr>
            <w:tcW w:w="1893" w:type="dxa"/>
            <w:shd w:val="clear" w:color="auto" w:fill="auto"/>
            <w:noWrap/>
            <w:vAlign w:val="center"/>
          </w:tcPr>
          <w:p>
            <w:pPr>
              <w:pStyle w:val="19"/>
              <w:rPr>
                <w:b/>
                <w:sz w:val="28"/>
              </w:rPr>
            </w:pPr>
            <w:r>
              <w:rPr>
                <w:rFonts w:hint="eastAsia"/>
                <w:b/>
                <w:sz w:val="28"/>
              </w:rPr>
              <w:t>2、3</w:t>
            </w:r>
          </w:p>
        </w:tc>
        <w:tc>
          <w:tcPr>
            <w:tcW w:w="1893" w:type="dxa"/>
            <w:shd w:val="clear" w:color="auto" w:fill="auto"/>
            <w:noWrap/>
            <w:vAlign w:val="center"/>
          </w:tcPr>
          <w:p>
            <w:pPr>
              <w:pStyle w:val="19"/>
              <w:rPr>
                <w:b/>
                <w:sz w:val="28"/>
              </w:rPr>
            </w:pPr>
            <w:r>
              <w:rPr>
                <w:rFonts w:hint="eastAsia"/>
                <w:b/>
                <w:sz w:val="28"/>
              </w:rPr>
              <w:t>4、5</w:t>
            </w:r>
          </w:p>
        </w:tc>
        <w:tc>
          <w:tcPr>
            <w:tcW w:w="4600" w:type="dxa"/>
            <w:shd w:val="clear" w:color="auto" w:fill="auto"/>
            <w:noWrap/>
            <w:vAlign w:val="center"/>
          </w:tcPr>
          <w:p>
            <w:pPr>
              <w:pStyle w:val="19"/>
              <w:rPr>
                <w:b/>
                <w:sz w:val="28"/>
              </w:rPr>
            </w:pPr>
            <w:r>
              <w:rPr>
                <w:rFonts w:hint="eastAsia"/>
                <w:b/>
                <w:sz w:val="28"/>
              </w:rPr>
              <w:t>来源</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402" w:type="dxa"/>
            <w:vMerge w:val="restart"/>
            <w:shd w:val="clear" w:color="auto" w:fill="auto"/>
            <w:noWrap/>
            <w:vAlign w:val="center"/>
          </w:tcPr>
          <w:p>
            <w:pPr>
              <w:pStyle w:val="19"/>
              <w:rPr>
                <w:sz w:val="24"/>
              </w:rPr>
            </w:pPr>
            <w:r>
              <w:rPr>
                <w:rFonts w:hint="eastAsia"/>
                <w:sz w:val="24"/>
              </w:rPr>
              <w:t>护堤地宽度（m）</w:t>
            </w:r>
          </w:p>
        </w:tc>
        <w:tc>
          <w:tcPr>
            <w:tcW w:w="1892" w:type="dxa"/>
            <w:shd w:val="clear" w:color="auto" w:fill="auto"/>
            <w:noWrap/>
            <w:vAlign w:val="center"/>
          </w:tcPr>
          <w:p>
            <w:pPr>
              <w:pStyle w:val="19"/>
              <w:rPr>
                <w:sz w:val="24"/>
              </w:rPr>
            </w:pPr>
            <w:r>
              <w:rPr>
                <w:rFonts w:hint="eastAsia"/>
                <w:sz w:val="24"/>
              </w:rPr>
              <w:t>30~100</w:t>
            </w:r>
          </w:p>
        </w:tc>
        <w:tc>
          <w:tcPr>
            <w:tcW w:w="1893" w:type="dxa"/>
            <w:shd w:val="clear" w:color="auto" w:fill="auto"/>
            <w:noWrap/>
            <w:vAlign w:val="center"/>
          </w:tcPr>
          <w:p>
            <w:pPr>
              <w:pStyle w:val="19"/>
              <w:rPr>
                <w:sz w:val="24"/>
              </w:rPr>
            </w:pPr>
            <w:r>
              <w:rPr>
                <w:rFonts w:hint="eastAsia"/>
                <w:sz w:val="24"/>
              </w:rPr>
              <w:t>20~60</w:t>
            </w:r>
          </w:p>
        </w:tc>
        <w:tc>
          <w:tcPr>
            <w:tcW w:w="1893" w:type="dxa"/>
            <w:shd w:val="clear" w:color="auto" w:fill="auto"/>
            <w:noWrap/>
            <w:vAlign w:val="center"/>
          </w:tcPr>
          <w:p>
            <w:pPr>
              <w:pStyle w:val="19"/>
              <w:rPr>
                <w:b/>
                <w:sz w:val="24"/>
              </w:rPr>
            </w:pPr>
            <w:r>
              <w:rPr>
                <w:rFonts w:hint="eastAsia"/>
                <w:b/>
                <w:sz w:val="24"/>
              </w:rPr>
              <w:t>5~30</w:t>
            </w:r>
          </w:p>
        </w:tc>
        <w:tc>
          <w:tcPr>
            <w:tcW w:w="4600" w:type="dxa"/>
            <w:shd w:val="clear" w:color="auto" w:fill="auto"/>
            <w:noWrap/>
            <w:vAlign w:val="center"/>
          </w:tcPr>
          <w:p>
            <w:pPr>
              <w:pStyle w:val="19"/>
              <w:rPr>
                <w:sz w:val="24"/>
              </w:rPr>
            </w:pPr>
            <w:r>
              <w:rPr>
                <w:rFonts w:hint="eastAsia"/>
                <w:sz w:val="24"/>
              </w:rPr>
              <w:t>《堤防工程管理设计规范》（SL170-96）</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402" w:type="dxa"/>
            <w:vMerge w:val="continue"/>
            <w:vAlign w:val="center"/>
          </w:tcPr>
          <w:p>
            <w:pPr>
              <w:pStyle w:val="19"/>
              <w:rPr>
                <w:sz w:val="24"/>
              </w:rPr>
            </w:pPr>
          </w:p>
        </w:tc>
        <w:tc>
          <w:tcPr>
            <w:tcW w:w="1892" w:type="dxa"/>
            <w:shd w:val="clear" w:color="auto" w:fill="auto"/>
            <w:noWrap/>
            <w:vAlign w:val="center"/>
          </w:tcPr>
          <w:p>
            <w:pPr>
              <w:pStyle w:val="19"/>
              <w:rPr>
                <w:sz w:val="24"/>
              </w:rPr>
            </w:pPr>
            <w:r>
              <w:rPr>
                <w:rFonts w:hint="eastAsia"/>
                <w:sz w:val="24"/>
              </w:rPr>
              <w:t>30~20</w:t>
            </w:r>
          </w:p>
        </w:tc>
        <w:tc>
          <w:tcPr>
            <w:tcW w:w="1893" w:type="dxa"/>
            <w:shd w:val="clear" w:color="auto" w:fill="auto"/>
            <w:noWrap/>
            <w:vAlign w:val="center"/>
          </w:tcPr>
          <w:p>
            <w:pPr>
              <w:pStyle w:val="19"/>
              <w:rPr>
                <w:sz w:val="24"/>
              </w:rPr>
            </w:pPr>
            <w:r>
              <w:rPr>
                <w:rFonts w:hint="eastAsia"/>
                <w:sz w:val="24"/>
              </w:rPr>
              <w:t>20~10</w:t>
            </w:r>
          </w:p>
        </w:tc>
        <w:tc>
          <w:tcPr>
            <w:tcW w:w="1893" w:type="dxa"/>
            <w:shd w:val="clear" w:color="auto" w:fill="auto"/>
            <w:noWrap/>
            <w:vAlign w:val="center"/>
          </w:tcPr>
          <w:p>
            <w:pPr>
              <w:pStyle w:val="19"/>
              <w:rPr>
                <w:b/>
                <w:sz w:val="24"/>
              </w:rPr>
            </w:pPr>
            <w:r>
              <w:rPr>
                <w:rFonts w:hint="eastAsia"/>
                <w:b/>
                <w:sz w:val="24"/>
              </w:rPr>
              <w:t>10~5</w:t>
            </w:r>
          </w:p>
        </w:tc>
        <w:tc>
          <w:tcPr>
            <w:tcW w:w="4600" w:type="dxa"/>
            <w:shd w:val="clear" w:color="auto" w:fill="auto"/>
            <w:noWrap/>
            <w:vAlign w:val="center"/>
          </w:tcPr>
          <w:p>
            <w:pPr>
              <w:pStyle w:val="19"/>
              <w:rPr>
                <w:sz w:val="24"/>
              </w:rPr>
            </w:pPr>
            <w:r>
              <w:rPr>
                <w:rFonts w:hint="eastAsia"/>
                <w:sz w:val="24"/>
              </w:rPr>
              <w:t>《堤防工程设计规范》（GB502856-2013）</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402" w:type="dxa"/>
            <w:vMerge w:val="restart"/>
            <w:shd w:val="clear" w:color="auto" w:fill="auto"/>
            <w:noWrap/>
            <w:vAlign w:val="center"/>
          </w:tcPr>
          <w:p>
            <w:pPr>
              <w:pStyle w:val="19"/>
              <w:rPr>
                <w:sz w:val="24"/>
              </w:rPr>
            </w:pPr>
            <w:r>
              <w:rPr>
                <w:rFonts w:hint="eastAsia"/>
                <w:sz w:val="24"/>
              </w:rPr>
              <w:t>保护范围的宽度（m）</w:t>
            </w:r>
          </w:p>
        </w:tc>
        <w:tc>
          <w:tcPr>
            <w:tcW w:w="1892" w:type="dxa"/>
            <w:shd w:val="clear" w:color="auto" w:fill="auto"/>
            <w:noWrap/>
            <w:vAlign w:val="center"/>
          </w:tcPr>
          <w:p>
            <w:pPr>
              <w:pStyle w:val="19"/>
              <w:rPr>
                <w:sz w:val="24"/>
              </w:rPr>
            </w:pPr>
            <w:r>
              <w:rPr>
                <w:rFonts w:hint="eastAsia"/>
                <w:sz w:val="24"/>
              </w:rPr>
              <w:t>200~300</w:t>
            </w:r>
          </w:p>
        </w:tc>
        <w:tc>
          <w:tcPr>
            <w:tcW w:w="1893" w:type="dxa"/>
            <w:shd w:val="clear" w:color="auto" w:fill="auto"/>
            <w:noWrap/>
            <w:vAlign w:val="center"/>
          </w:tcPr>
          <w:p>
            <w:pPr>
              <w:pStyle w:val="19"/>
              <w:rPr>
                <w:sz w:val="24"/>
              </w:rPr>
            </w:pPr>
            <w:r>
              <w:rPr>
                <w:rFonts w:hint="eastAsia"/>
                <w:sz w:val="24"/>
              </w:rPr>
              <w:t>100~200</w:t>
            </w:r>
          </w:p>
        </w:tc>
        <w:tc>
          <w:tcPr>
            <w:tcW w:w="1893" w:type="dxa"/>
            <w:shd w:val="clear" w:color="auto" w:fill="auto"/>
            <w:noWrap/>
            <w:vAlign w:val="center"/>
          </w:tcPr>
          <w:p>
            <w:pPr>
              <w:pStyle w:val="19"/>
              <w:rPr>
                <w:b/>
                <w:sz w:val="24"/>
              </w:rPr>
            </w:pPr>
            <w:r>
              <w:rPr>
                <w:rFonts w:hint="eastAsia"/>
                <w:b/>
                <w:sz w:val="24"/>
              </w:rPr>
              <w:t>50~100</w:t>
            </w:r>
          </w:p>
        </w:tc>
        <w:tc>
          <w:tcPr>
            <w:tcW w:w="4600" w:type="dxa"/>
            <w:shd w:val="clear" w:color="auto" w:fill="auto"/>
            <w:noWrap/>
            <w:vAlign w:val="center"/>
          </w:tcPr>
          <w:p>
            <w:pPr>
              <w:pStyle w:val="19"/>
              <w:rPr>
                <w:sz w:val="24"/>
              </w:rPr>
            </w:pPr>
            <w:r>
              <w:rPr>
                <w:rFonts w:hint="eastAsia"/>
                <w:sz w:val="24"/>
              </w:rPr>
              <w:t>《堤防工程管理设计规范》（SL170-96）</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402" w:type="dxa"/>
            <w:vMerge w:val="continue"/>
            <w:vAlign w:val="center"/>
          </w:tcPr>
          <w:p>
            <w:pPr>
              <w:pStyle w:val="19"/>
              <w:rPr>
                <w:sz w:val="24"/>
              </w:rPr>
            </w:pPr>
          </w:p>
        </w:tc>
        <w:tc>
          <w:tcPr>
            <w:tcW w:w="1892" w:type="dxa"/>
            <w:shd w:val="clear" w:color="auto" w:fill="auto"/>
            <w:noWrap/>
            <w:vAlign w:val="center"/>
          </w:tcPr>
          <w:p>
            <w:pPr>
              <w:pStyle w:val="19"/>
              <w:rPr>
                <w:sz w:val="24"/>
              </w:rPr>
            </w:pPr>
            <w:r>
              <w:rPr>
                <w:rFonts w:hint="eastAsia"/>
                <w:sz w:val="24"/>
              </w:rPr>
              <w:t>300~200</w:t>
            </w:r>
          </w:p>
        </w:tc>
        <w:tc>
          <w:tcPr>
            <w:tcW w:w="1893" w:type="dxa"/>
            <w:shd w:val="clear" w:color="auto" w:fill="auto"/>
            <w:noWrap/>
            <w:vAlign w:val="center"/>
          </w:tcPr>
          <w:p>
            <w:pPr>
              <w:pStyle w:val="19"/>
              <w:rPr>
                <w:sz w:val="24"/>
              </w:rPr>
            </w:pPr>
            <w:r>
              <w:rPr>
                <w:rFonts w:hint="eastAsia"/>
                <w:sz w:val="24"/>
              </w:rPr>
              <w:t>200~100</w:t>
            </w:r>
          </w:p>
        </w:tc>
        <w:tc>
          <w:tcPr>
            <w:tcW w:w="1893" w:type="dxa"/>
            <w:shd w:val="clear" w:color="auto" w:fill="auto"/>
            <w:noWrap/>
            <w:vAlign w:val="center"/>
          </w:tcPr>
          <w:p>
            <w:pPr>
              <w:pStyle w:val="19"/>
              <w:rPr>
                <w:b/>
                <w:sz w:val="24"/>
              </w:rPr>
            </w:pPr>
            <w:r>
              <w:rPr>
                <w:rFonts w:hint="eastAsia"/>
                <w:b/>
                <w:sz w:val="24"/>
              </w:rPr>
              <w:t>100~50</w:t>
            </w:r>
          </w:p>
        </w:tc>
        <w:tc>
          <w:tcPr>
            <w:tcW w:w="4600" w:type="dxa"/>
            <w:shd w:val="clear" w:color="auto" w:fill="auto"/>
            <w:noWrap/>
            <w:vAlign w:val="center"/>
          </w:tcPr>
          <w:p>
            <w:pPr>
              <w:pStyle w:val="19"/>
              <w:rPr>
                <w:sz w:val="24"/>
              </w:rPr>
            </w:pPr>
            <w:r>
              <w:rPr>
                <w:rFonts w:hint="eastAsia"/>
                <w:sz w:val="24"/>
              </w:rPr>
              <w:t>《堤防工程设计规范》（GB502856-2013）</w:t>
            </w:r>
          </w:p>
        </w:tc>
      </w:tr>
    </w:tbl>
    <w:p>
      <w:pPr>
        <w:ind w:firstLine="560"/>
        <w:rPr>
          <w:sz w:val="28"/>
        </w:rPr>
      </w:pPr>
      <w:r>
        <w:rPr>
          <w:rFonts w:hint="eastAsia"/>
          <w:sz w:val="28"/>
        </w:rPr>
        <w:t>结合</w:t>
      </w:r>
      <w:r>
        <w:rPr>
          <w:sz w:val="28"/>
        </w:rPr>
        <w:t>越秀区</w:t>
      </w:r>
      <w:r>
        <w:rPr>
          <w:rFonts w:hint="eastAsia"/>
          <w:sz w:val="28"/>
        </w:rPr>
        <w:t>已划定</w:t>
      </w:r>
      <w:r>
        <w:rPr>
          <w:sz w:val="28"/>
        </w:rPr>
        <w:t>河涌管理</w:t>
      </w:r>
      <w:r>
        <w:rPr>
          <w:rFonts w:hint="eastAsia"/>
          <w:sz w:val="28"/>
        </w:rPr>
        <w:t>范围</w:t>
      </w:r>
      <w:r>
        <w:rPr>
          <w:sz w:val="28"/>
        </w:rPr>
        <w:t>及</w:t>
      </w:r>
      <w:r>
        <w:rPr>
          <w:rFonts w:hint="eastAsia"/>
          <w:sz w:val="28"/>
        </w:rPr>
        <w:t>水务</w:t>
      </w:r>
      <w:r>
        <w:rPr>
          <w:sz w:val="28"/>
        </w:rPr>
        <w:t>管理经验，</w:t>
      </w:r>
      <w:r>
        <w:rPr>
          <w:rFonts w:hint="eastAsia"/>
          <w:sz w:val="28"/>
        </w:rPr>
        <w:t>河涌</w:t>
      </w:r>
      <w:r>
        <w:rPr>
          <w:sz w:val="28"/>
        </w:rPr>
        <w:t>管理范围</w:t>
      </w:r>
      <w:r>
        <w:rPr>
          <w:rFonts w:hint="eastAsia"/>
          <w:sz w:val="28"/>
        </w:rPr>
        <w:t>边界为</w:t>
      </w:r>
      <w:r>
        <w:rPr>
          <w:sz w:val="28"/>
        </w:rPr>
        <w:t>以临水控制线</w:t>
      </w:r>
      <w:r>
        <w:rPr>
          <w:rFonts w:hint="eastAsia"/>
          <w:sz w:val="28"/>
        </w:rPr>
        <w:t>（堤防</w:t>
      </w:r>
      <w:r>
        <w:rPr>
          <w:sz w:val="28"/>
        </w:rPr>
        <w:t>上口</w:t>
      </w:r>
      <w:r>
        <w:rPr>
          <w:rFonts w:hint="eastAsia"/>
          <w:sz w:val="28"/>
        </w:rPr>
        <w:t>）为基准</w:t>
      </w:r>
      <w:r>
        <w:rPr>
          <w:sz w:val="28"/>
        </w:rPr>
        <w:t>，外扩</w:t>
      </w:r>
      <w:r>
        <w:rPr>
          <w:rFonts w:hint="eastAsia"/>
          <w:sz w:val="28"/>
        </w:rPr>
        <w:t>6</w:t>
      </w:r>
      <w:r>
        <w:rPr>
          <w:sz w:val="28"/>
        </w:rPr>
        <w:t>~10m</w:t>
      </w:r>
      <w:r>
        <w:rPr>
          <w:rFonts w:hint="eastAsia"/>
          <w:sz w:val="28"/>
        </w:rPr>
        <w:t>划定，</w:t>
      </w:r>
      <w:r>
        <w:rPr>
          <w:sz w:val="28"/>
        </w:rPr>
        <w:t>包含堤防建设及</w:t>
      </w:r>
      <w:r>
        <w:rPr>
          <w:rFonts w:hint="eastAsia"/>
          <w:sz w:val="28"/>
        </w:rPr>
        <w:t>护堤地</w:t>
      </w:r>
      <w:r>
        <w:rPr>
          <w:sz w:val="28"/>
        </w:rPr>
        <w:t>范围，因此河涌管理范围</w:t>
      </w:r>
      <w:r>
        <w:rPr>
          <w:rFonts w:hint="eastAsia"/>
          <w:sz w:val="28"/>
        </w:rPr>
        <w:t>可作为</w:t>
      </w:r>
      <w:r>
        <w:rPr>
          <w:sz w:val="28"/>
        </w:rPr>
        <w:t>堤防</w:t>
      </w:r>
      <w:r>
        <w:rPr>
          <w:rFonts w:hint="eastAsia"/>
          <w:sz w:val="28"/>
        </w:rPr>
        <w:t>背水侧</w:t>
      </w:r>
      <w:r>
        <w:rPr>
          <w:sz w:val="28"/>
        </w:rPr>
        <w:t>管理范围</w:t>
      </w:r>
      <w:r>
        <w:rPr>
          <w:rFonts w:hint="eastAsia"/>
          <w:sz w:val="28"/>
        </w:rPr>
        <w:t>，</w:t>
      </w:r>
      <w:r>
        <w:rPr>
          <w:sz w:val="28"/>
        </w:rPr>
        <w:t>方便管理操作</w:t>
      </w:r>
      <w:r>
        <w:rPr>
          <w:rFonts w:hint="eastAsia"/>
          <w:sz w:val="28"/>
        </w:rPr>
        <w:t>；</w:t>
      </w:r>
      <w:r>
        <w:rPr>
          <w:sz w:val="28"/>
        </w:rPr>
        <w:t>堤防临水侧管理范围以堤防</w:t>
      </w:r>
      <w:r>
        <w:rPr>
          <w:rFonts w:hint="eastAsia"/>
          <w:sz w:val="28"/>
        </w:rPr>
        <w:t>应</w:t>
      </w:r>
      <w:r>
        <w:rPr>
          <w:sz w:val="28"/>
        </w:rPr>
        <w:t>以临水侧堤防堤脚为基准，</w:t>
      </w:r>
      <w:r>
        <w:rPr>
          <w:rFonts w:hint="eastAsia"/>
          <w:sz w:val="28"/>
        </w:rPr>
        <w:t>向</w:t>
      </w:r>
      <w:r>
        <w:rPr>
          <w:sz w:val="28"/>
        </w:rPr>
        <w:t>临水侧</w:t>
      </w:r>
      <w:r>
        <w:rPr>
          <w:rFonts w:hint="eastAsia"/>
          <w:sz w:val="28"/>
        </w:rPr>
        <w:t>外扩</w:t>
      </w:r>
      <w:r>
        <w:rPr>
          <w:sz w:val="28"/>
        </w:rPr>
        <w:t>划定</w:t>
      </w:r>
      <w:r>
        <w:rPr>
          <w:rFonts w:hint="eastAsia"/>
          <w:sz w:val="28"/>
        </w:rPr>
        <w:t>5</w:t>
      </w:r>
      <w:r>
        <w:rPr>
          <w:sz w:val="28"/>
        </w:rPr>
        <w:t>~10m。</w:t>
      </w:r>
    </w:p>
    <w:p>
      <w:pPr>
        <w:ind w:firstLine="560"/>
        <w:rPr>
          <w:sz w:val="28"/>
        </w:rPr>
      </w:pPr>
      <w:r>
        <w:rPr>
          <w:sz w:val="28"/>
        </w:rPr>
        <w:t>保护范围</w:t>
      </w:r>
      <w:r>
        <w:rPr>
          <w:rFonts w:hint="eastAsia"/>
          <w:sz w:val="28"/>
        </w:rPr>
        <w:t>按照</w:t>
      </w:r>
      <w:r>
        <w:rPr>
          <w:sz w:val="28"/>
        </w:rPr>
        <w:t>规定，</w:t>
      </w:r>
      <w:r>
        <w:rPr>
          <w:rFonts w:hint="eastAsia"/>
          <w:sz w:val="28"/>
        </w:rPr>
        <w:t>背水侧保护范围</w:t>
      </w:r>
      <w:r>
        <w:rPr>
          <w:sz w:val="28"/>
        </w:rPr>
        <w:t>以堤防背水侧管理范围</w:t>
      </w:r>
      <w:r>
        <w:rPr>
          <w:rFonts w:hint="eastAsia"/>
          <w:sz w:val="28"/>
        </w:rPr>
        <w:t>外扩50</w:t>
      </w:r>
      <w:r>
        <w:rPr>
          <w:sz w:val="28"/>
        </w:rPr>
        <w:t>m</w:t>
      </w:r>
      <w:r>
        <w:rPr>
          <w:rFonts w:hint="eastAsia"/>
          <w:sz w:val="28"/>
        </w:rPr>
        <w:t>划定</w:t>
      </w:r>
      <w:r>
        <w:rPr>
          <w:sz w:val="28"/>
        </w:rPr>
        <w:t>，临水侧</w:t>
      </w:r>
      <w:r>
        <w:rPr>
          <w:rFonts w:hint="eastAsia"/>
          <w:sz w:val="28"/>
        </w:rPr>
        <w:t>保护范围</w:t>
      </w:r>
      <w:r>
        <w:rPr>
          <w:sz w:val="28"/>
        </w:rPr>
        <w:t>由于越秀河涌特点</w:t>
      </w:r>
      <w:r>
        <w:rPr>
          <w:rFonts w:hint="eastAsia"/>
          <w:sz w:val="28"/>
        </w:rPr>
        <w:t>及</w:t>
      </w:r>
      <w:r>
        <w:rPr>
          <w:sz w:val="28"/>
        </w:rPr>
        <w:t>规模，不进行划定。</w:t>
      </w:r>
    </w:p>
    <w:p>
      <w:pPr>
        <w:ind w:firstLine="562"/>
        <w:rPr>
          <w:b/>
          <w:sz w:val="28"/>
        </w:rPr>
      </w:pPr>
      <w:r>
        <w:rPr>
          <w:rFonts w:hint="eastAsia"/>
          <w:b/>
          <w:sz w:val="28"/>
        </w:rPr>
        <w:t>（</w:t>
      </w:r>
      <w:r>
        <w:rPr>
          <w:b/>
          <w:sz w:val="28"/>
        </w:rPr>
        <w:t>5</w:t>
      </w:r>
      <w:r>
        <w:rPr>
          <w:rFonts w:hint="eastAsia"/>
          <w:b/>
          <w:sz w:val="28"/>
        </w:rPr>
        <w:t>）划定小结</w:t>
      </w:r>
    </w:p>
    <w:p>
      <w:pPr>
        <w:ind w:firstLine="560"/>
        <w:rPr>
          <w:sz w:val="28"/>
        </w:rPr>
      </w:pPr>
      <w:r>
        <w:rPr>
          <w:rFonts w:hint="eastAsia"/>
          <w:sz w:val="28"/>
        </w:rPr>
        <w:t>综合</w:t>
      </w:r>
      <w:r>
        <w:rPr>
          <w:sz w:val="28"/>
        </w:rPr>
        <w:t>上述分析，</w:t>
      </w:r>
      <w:r>
        <w:rPr>
          <w:rFonts w:hint="eastAsia"/>
          <w:sz w:val="28"/>
        </w:rPr>
        <w:t>确定越秀堤防</w:t>
      </w:r>
      <w:r>
        <w:rPr>
          <w:sz w:val="28"/>
        </w:rPr>
        <w:t>及水闸泵站</w:t>
      </w:r>
      <w:r>
        <w:rPr>
          <w:rFonts w:hint="eastAsia"/>
          <w:sz w:val="28"/>
        </w:rPr>
        <w:t>水利工程划定管理范围</w:t>
      </w:r>
      <w:r>
        <w:rPr>
          <w:sz w:val="28"/>
        </w:rPr>
        <w:t>及保护范围</w:t>
      </w:r>
      <w:r>
        <w:rPr>
          <w:rFonts w:hint="eastAsia"/>
          <w:sz w:val="28"/>
        </w:rPr>
        <w:t>成果如下</w:t>
      </w:r>
      <w:r>
        <w:rPr>
          <w:sz w:val="28"/>
        </w:rPr>
        <w:t>。</w:t>
      </w:r>
    </w:p>
    <w:p>
      <w:pPr>
        <w:pStyle w:val="21"/>
        <w:rPr>
          <w:sz w:val="28"/>
        </w:rPr>
      </w:pPr>
      <w:r>
        <w:rPr>
          <w:rFonts w:hint="eastAsia"/>
          <w:sz w:val="28"/>
        </w:rPr>
        <w:t>表</w:t>
      </w:r>
      <w:r>
        <w:rPr>
          <w:sz w:val="28"/>
        </w:rPr>
        <w:t xml:space="preserve">4-5 </w:t>
      </w:r>
      <w:r>
        <w:rPr>
          <w:rFonts w:hint="eastAsia"/>
          <w:sz w:val="28"/>
        </w:rPr>
        <w:t>越秀堤防及水闸泵站水利工程划定管理范围及保护范围线外扩范围成果表</w:t>
      </w:r>
    </w:p>
    <w:tbl>
      <w:tblPr>
        <w:tblStyle w:val="12"/>
        <w:tblW w:w="5232" w:type="pct"/>
        <w:tblInd w:w="0" w:type="dxa"/>
        <w:tblLayout w:type="autofit"/>
        <w:tblCellMar>
          <w:top w:w="0" w:type="dxa"/>
          <w:left w:w="108" w:type="dxa"/>
          <w:bottom w:w="0" w:type="dxa"/>
          <w:right w:w="108" w:type="dxa"/>
        </w:tblCellMar>
      </w:tblPr>
      <w:tblGrid>
        <w:gridCol w:w="779"/>
        <w:gridCol w:w="1341"/>
        <w:gridCol w:w="3216"/>
        <w:gridCol w:w="1341"/>
        <w:gridCol w:w="1341"/>
        <w:gridCol w:w="3266"/>
        <w:gridCol w:w="3550"/>
      </w:tblGrid>
      <w:tr>
        <w:tblPrEx>
          <w:tblCellMar>
            <w:top w:w="0" w:type="dxa"/>
            <w:left w:w="108" w:type="dxa"/>
            <w:bottom w:w="0" w:type="dxa"/>
            <w:right w:w="108" w:type="dxa"/>
          </w:tblCellMar>
        </w:tblPrEx>
        <w:trPr>
          <w:trHeight w:val="570" w:hRule="atLeast"/>
          <w:tblHeader/>
        </w:trPr>
        <w:tc>
          <w:tcPr>
            <w:tcW w:w="267" w:type="pct"/>
            <w:tcBorders>
              <w:top w:val="double" w:color="auto" w:sz="4" w:space="0"/>
              <w:left w:val="double" w:color="auto" w:sz="4" w:space="0"/>
              <w:bottom w:val="single" w:color="auto" w:sz="4" w:space="0"/>
              <w:right w:val="nil"/>
            </w:tcBorders>
            <w:shd w:val="clear" w:color="auto" w:fill="auto"/>
            <w:noWrap/>
            <w:vAlign w:val="center"/>
          </w:tcPr>
          <w:p>
            <w:pPr>
              <w:pStyle w:val="19"/>
              <w:rPr>
                <w:b/>
                <w:sz w:val="28"/>
              </w:rPr>
            </w:pPr>
            <w:r>
              <w:rPr>
                <w:rFonts w:hint="eastAsia"/>
                <w:b/>
                <w:sz w:val="28"/>
              </w:rPr>
              <w:t>序号</w:t>
            </w:r>
          </w:p>
        </w:tc>
        <w:tc>
          <w:tcPr>
            <w:tcW w:w="459" w:type="pct"/>
            <w:tcBorders>
              <w:top w:val="double" w:color="auto" w:sz="4" w:space="0"/>
              <w:left w:val="single" w:color="auto" w:sz="4" w:space="0"/>
              <w:bottom w:val="single" w:color="auto" w:sz="4" w:space="0"/>
              <w:right w:val="single" w:color="auto" w:sz="4" w:space="0"/>
            </w:tcBorders>
            <w:shd w:val="clear" w:color="auto" w:fill="auto"/>
            <w:noWrap/>
            <w:vAlign w:val="center"/>
          </w:tcPr>
          <w:p>
            <w:pPr>
              <w:pStyle w:val="19"/>
              <w:rPr>
                <w:b/>
                <w:sz w:val="28"/>
              </w:rPr>
            </w:pPr>
            <w:r>
              <w:rPr>
                <w:rFonts w:hint="eastAsia"/>
                <w:b/>
                <w:sz w:val="28"/>
              </w:rPr>
              <w:t>工程类型</w:t>
            </w:r>
          </w:p>
        </w:tc>
        <w:tc>
          <w:tcPr>
            <w:tcW w:w="978" w:type="pct"/>
            <w:tcBorders>
              <w:top w:val="double" w:color="auto" w:sz="4" w:space="0"/>
              <w:left w:val="nil"/>
              <w:bottom w:val="single" w:color="auto" w:sz="4" w:space="0"/>
              <w:right w:val="single" w:color="auto" w:sz="4" w:space="0"/>
            </w:tcBorders>
            <w:shd w:val="clear" w:color="auto" w:fill="auto"/>
            <w:noWrap/>
            <w:vAlign w:val="center"/>
          </w:tcPr>
          <w:p>
            <w:pPr>
              <w:pStyle w:val="19"/>
              <w:rPr>
                <w:b/>
                <w:sz w:val="28"/>
              </w:rPr>
            </w:pPr>
            <w:r>
              <w:rPr>
                <w:rFonts w:hint="eastAsia"/>
                <w:b/>
                <w:sz w:val="28"/>
              </w:rPr>
              <w:t>名称</w:t>
            </w:r>
          </w:p>
        </w:tc>
        <w:tc>
          <w:tcPr>
            <w:tcW w:w="459" w:type="pct"/>
            <w:tcBorders>
              <w:top w:val="double" w:color="auto" w:sz="4" w:space="0"/>
              <w:left w:val="nil"/>
              <w:bottom w:val="single" w:color="auto" w:sz="4" w:space="0"/>
              <w:right w:val="single" w:color="auto" w:sz="4" w:space="0"/>
            </w:tcBorders>
            <w:shd w:val="clear" w:color="auto" w:fill="auto"/>
            <w:noWrap/>
            <w:vAlign w:val="center"/>
          </w:tcPr>
          <w:p>
            <w:pPr>
              <w:pStyle w:val="19"/>
              <w:rPr>
                <w:b/>
                <w:sz w:val="28"/>
              </w:rPr>
            </w:pPr>
            <w:r>
              <w:rPr>
                <w:rFonts w:hint="eastAsia"/>
                <w:b/>
                <w:sz w:val="28"/>
              </w:rPr>
              <w:t>工程规模</w:t>
            </w:r>
          </w:p>
        </w:tc>
        <w:tc>
          <w:tcPr>
            <w:tcW w:w="459" w:type="pct"/>
            <w:tcBorders>
              <w:top w:val="double" w:color="auto" w:sz="4" w:space="0"/>
              <w:left w:val="nil"/>
              <w:bottom w:val="single" w:color="auto" w:sz="4" w:space="0"/>
              <w:right w:val="single" w:color="auto" w:sz="4" w:space="0"/>
            </w:tcBorders>
            <w:shd w:val="clear" w:color="auto" w:fill="auto"/>
            <w:noWrap/>
            <w:vAlign w:val="center"/>
          </w:tcPr>
          <w:p>
            <w:pPr>
              <w:pStyle w:val="19"/>
              <w:rPr>
                <w:b/>
                <w:sz w:val="28"/>
              </w:rPr>
            </w:pPr>
            <w:r>
              <w:rPr>
                <w:rFonts w:hint="eastAsia"/>
                <w:b/>
                <w:sz w:val="28"/>
              </w:rPr>
              <w:t>工程级别</w:t>
            </w:r>
          </w:p>
        </w:tc>
        <w:tc>
          <w:tcPr>
            <w:tcW w:w="1163" w:type="pct"/>
            <w:tcBorders>
              <w:top w:val="double" w:color="auto" w:sz="4" w:space="0"/>
              <w:left w:val="nil"/>
              <w:bottom w:val="single" w:color="auto" w:sz="4" w:space="0"/>
              <w:right w:val="single" w:color="auto" w:sz="4" w:space="0"/>
            </w:tcBorders>
            <w:shd w:val="clear" w:color="auto" w:fill="auto"/>
            <w:vAlign w:val="center"/>
          </w:tcPr>
          <w:p>
            <w:pPr>
              <w:pStyle w:val="19"/>
              <w:rPr>
                <w:b/>
                <w:sz w:val="28"/>
              </w:rPr>
            </w:pPr>
            <w:r>
              <w:rPr>
                <w:rFonts w:hint="eastAsia"/>
                <w:b/>
                <w:sz w:val="28"/>
              </w:rPr>
              <w:t>管理范围线</w:t>
            </w:r>
          </w:p>
          <w:p>
            <w:pPr>
              <w:pStyle w:val="19"/>
              <w:rPr>
                <w:b/>
                <w:sz w:val="28"/>
              </w:rPr>
            </w:pPr>
            <w:r>
              <w:rPr>
                <w:rFonts w:hint="eastAsia"/>
                <w:b/>
                <w:sz w:val="28"/>
              </w:rPr>
              <w:t>（工程范围外扩）</w:t>
            </w:r>
          </w:p>
        </w:tc>
        <w:tc>
          <w:tcPr>
            <w:tcW w:w="1214" w:type="pct"/>
            <w:tcBorders>
              <w:top w:val="double" w:color="auto" w:sz="4" w:space="0"/>
              <w:left w:val="nil"/>
              <w:bottom w:val="single" w:color="auto" w:sz="4" w:space="0"/>
              <w:right w:val="double" w:color="auto" w:sz="4" w:space="0"/>
            </w:tcBorders>
            <w:shd w:val="clear" w:color="auto" w:fill="auto"/>
            <w:noWrap/>
            <w:vAlign w:val="center"/>
          </w:tcPr>
          <w:p>
            <w:pPr>
              <w:pStyle w:val="19"/>
              <w:rPr>
                <w:b/>
                <w:sz w:val="28"/>
              </w:rPr>
            </w:pPr>
            <w:r>
              <w:rPr>
                <w:rFonts w:hint="eastAsia"/>
                <w:b/>
                <w:sz w:val="28"/>
              </w:rPr>
              <w:t>保护范围线</w:t>
            </w:r>
          </w:p>
          <w:p>
            <w:pPr>
              <w:pStyle w:val="19"/>
              <w:rPr>
                <w:b/>
                <w:sz w:val="28"/>
              </w:rPr>
            </w:pPr>
            <w:r>
              <w:rPr>
                <w:rFonts w:hint="eastAsia"/>
                <w:b/>
                <w:sz w:val="28"/>
              </w:rPr>
              <w:t>（管理范围外扩）</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w:t>
            </w:r>
          </w:p>
        </w:tc>
        <w:tc>
          <w:tcPr>
            <w:tcW w:w="459" w:type="pct"/>
            <w:vMerge w:val="restart"/>
            <w:tcBorders>
              <w:top w:val="nil"/>
              <w:left w:val="single" w:color="auto" w:sz="4" w:space="0"/>
              <w:bottom w:val="single" w:color="auto" w:sz="4" w:space="0"/>
              <w:right w:val="single" w:color="auto" w:sz="4" w:space="0"/>
            </w:tcBorders>
            <w:shd w:val="clear" w:color="auto" w:fill="auto"/>
            <w:noWrap/>
            <w:vAlign w:val="center"/>
          </w:tcPr>
          <w:p>
            <w:pPr>
              <w:pStyle w:val="19"/>
              <w:rPr>
                <w:sz w:val="24"/>
              </w:rPr>
            </w:pPr>
            <w:r>
              <w:rPr>
                <w:rFonts w:hint="eastAsia"/>
                <w:sz w:val="24"/>
              </w:rPr>
              <w:t>水闸</w:t>
            </w: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东濠涌水闸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中型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1级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两侧40，上下游150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两侧100，上下游200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2</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沙河涌水闸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1级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两侧40，上下游150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两侧100，上下游200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3</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水均岗水闸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4</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东山湖8号闸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1级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5</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东山湖9号闸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1级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6</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东山湖6号闸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1级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7</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流花湖2号闸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8</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流花湖3号闸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9</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东山湖4号闸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10</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东山湖5号闸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11</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麓湖水闸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12</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新河浦涌1号闸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13</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新河浦涌2号闸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两侧30，上下游50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两侧50，上下游100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14</w:t>
            </w:r>
          </w:p>
        </w:tc>
        <w:tc>
          <w:tcPr>
            <w:tcW w:w="459" w:type="pct"/>
            <w:vMerge w:val="restart"/>
            <w:tcBorders>
              <w:top w:val="nil"/>
              <w:left w:val="single" w:color="auto" w:sz="4" w:space="0"/>
              <w:bottom w:val="single" w:color="auto" w:sz="4" w:space="0"/>
              <w:right w:val="single" w:color="auto" w:sz="4" w:space="0"/>
            </w:tcBorders>
            <w:shd w:val="clear" w:color="auto" w:fill="auto"/>
            <w:noWrap/>
            <w:vAlign w:val="center"/>
          </w:tcPr>
          <w:p>
            <w:pPr>
              <w:pStyle w:val="19"/>
              <w:rPr>
                <w:sz w:val="24"/>
              </w:rPr>
            </w:pPr>
            <w:r>
              <w:rPr>
                <w:rFonts w:hint="eastAsia"/>
                <w:sz w:val="24"/>
              </w:rPr>
              <w:t>泵站</w:t>
            </w: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东濠涌排涝泵站</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大（2）型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2级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50</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15</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东濠涌补水泵站</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25</w:t>
            </w:r>
          </w:p>
        </w:tc>
        <w:tc>
          <w:tcPr>
            <w:tcW w:w="1214" w:type="pct"/>
            <w:tcBorders>
              <w:top w:val="nil"/>
              <w:left w:val="nil"/>
              <w:bottom w:val="single" w:color="auto" w:sz="4" w:space="0"/>
              <w:right w:val="double" w:color="auto" w:sz="4" w:space="0"/>
            </w:tcBorders>
            <w:shd w:val="clear" w:color="auto" w:fill="auto"/>
            <w:noWrap/>
            <w:vAlign w:val="center"/>
          </w:tcPr>
          <w:p>
            <w:pPr>
              <w:pStyle w:val="19"/>
              <w:rPr>
                <w:sz w:val="24"/>
              </w:rPr>
            </w:pPr>
            <w:r>
              <w:rPr>
                <w:rFonts w:hint="eastAsia"/>
                <w:sz w:val="24"/>
              </w:rPr>
              <w:t>100</w:t>
            </w:r>
          </w:p>
        </w:tc>
      </w:tr>
      <w:tr>
        <w:tblPrEx>
          <w:tblCellMar>
            <w:top w:w="0" w:type="dxa"/>
            <w:left w:w="108" w:type="dxa"/>
            <w:bottom w:w="0" w:type="dxa"/>
            <w:right w:w="108" w:type="dxa"/>
          </w:tblCellMar>
        </w:tblPrEx>
        <w:trPr>
          <w:trHeight w:val="285"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16</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东山湖泵站</w:t>
            </w:r>
          </w:p>
          <w:p>
            <w:pPr>
              <w:pStyle w:val="19"/>
              <w:rPr>
                <w:sz w:val="24"/>
              </w:rPr>
            </w:pPr>
            <w:r>
              <w:rPr>
                <w:rFonts w:hint="eastAsia"/>
                <w:sz w:val="24"/>
              </w:rPr>
              <w:t>（和东山湖5号闸一体）</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小型</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2377" w:type="pct"/>
            <w:gridSpan w:val="2"/>
            <w:tcBorders>
              <w:top w:val="single" w:color="auto" w:sz="4" w:space="0"/>
              <w:left w:val="nil"/>
              <w:bottom w:val="single" w:color="auto" w:sz="4" w:space="0"/>
              <w:right w:val="double" w:color="auto" w:sz="4" w:space="0"/>
            </w:tcBorders>
            <w:shd w:val="clear" w:color="auto" w:fill="auto"/>
            <w:noWrap/>
            <w:vAlign w:val="center"/>
          </w:tcPr>
          <w:p>
            <w:pPr>
              <w:pStyle w:val="19"/>
              <w:rPr>
                <w:sz w:val="24"/>
              </w:rPr>
            </w:pPr>
            <w:r>
              <w:rPr>
                <w:rFonts w:hint="eastAsia"/>
                <w:sz w:val="24"/>
              </w:rPr>
              <w:t>闸泵一体，结合东山湖5号闸一起画</w:t>
            </w:r>
          </w:p>
        </w:tc>
      </w:tr>
      <w:tr>
        <w:tblPrEx>
          <w:tblCellMar>
            <w:top w:w="0" w:type="dxa"/>
            <w:left w:w="108" w:type="dxa"/>
            <w:bottom w:w="0" w:type="dxa"/>
            <w:right w:w="108" w:type="dxa"/>
          </w:tblCellMar>
        </w:tblPrEx>
        <w:trPr>
          <w:trHeight w:val="810"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17</w:t>
            </w:r>
          </w:p>
        </w:tc>
        <w:tc>
          <w:tcPr>
            <w:tcW w:w="459" w:type="pct"/>
            <w:vMerge w:val="restart"/>
            <w:tcBorders>
              <w:top w:val="nil"/>
              <w:left w:val="single" w:color="auto" w:sz="4" w:space="0"/>
              <w:bottom w:val="single" w:color="auto" w:sz="4" w:space="0"/>
              <w:right w:val="single" w:color="auto" w:sz="4" w:space="0"/>
            </w:tcBorders>
            <w:shd w:val="clear" w:color="auto" w:fill="auto"/>
            <w:noWrap/>
            <w:vAlign w:val="center"/>
          </w:tcPr>
          <w:p>
            <w:pPr>
              <w:pStyle w:val="19"/>
              <w:rPr>
                <w:sz w:val="24"/>
              </w:rPr>
            </w:pPr>
            <w:r>
              <w:rPr>
                <w:rFonts w:hint="eastAsia"/>
                <w:sz w:val="24"/>
              </w:rPr>
              <w:t>堤防</w:t>
            </w: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东濠涌（左右岸）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　</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包含堤防建设及护堤地范围，堤内与河道管理范围线保持一致，堤外按照不小于规范要求5m控制</w:t>
            </w:r>
          </w:p>
        </w:tc>
        <w:tc>
          <w:tcPr>
            <w:tcW w:w="1214" w:type="pct"/>
            <w:vMerge w:val="restart"/>
            <w:tcBorders>
              <w:top w:val="nil"/>
              <w:left w:val="single" w:color="auto" w:sz="4" w:space="0"/>
              <w:bottom w:val="single" w:color="000000" w:sz="4" w:space="0"/>
              <w:right w:val="double" w:color="auto" w:sz="4" w:space="0"/>
            </w:tcBorders>
            <w:shd w:val="clear" w:color="auto" w:fill="auto"/>
            <w:noWrap/>
            <w:vAlign w:val="center"/>
          </w:tcPr>
          <w:p>
            <w:pPr>
              <w:pStyle w:val="19"/>
              <w:rPr>
                <w:sz w:val="24"/>
              </w:rPr>
            </w:pPr>
            <w:r>
              <w:rPr>
                <w:rFonts w:hint="eastAsia"/>
                <w:sz w:val="24"/>
              </w:rPr>
              <w:t>50</w:t>
            </w:r>
          </w:p>
        </w:tc>
      </w:tr>
      <w:tr>
        <w:tblPrEx>
          <w:tblCellMar>
            <w:top w:w="0" w:type="dxa"/>
            <w:left w:w="108" w:type="dxa"/>
            <w:bottom w:w="0" w:type="dxa"/>
            <w:right w:w="108" w:type="dxa"/>
          </w:tblCellMar>
        </w:tblPrEx>
        <w:trPr>
          <w:trHeight w:val="570"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18</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沙河涌（越秀段）（左右岸）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　</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包含堤防建设及护堤地范围，堤内与河道管理范围线保持一致，堤外按照不小于规范要求</w:t>
            </w:r>
            <w:r>
              <w:rPr>
                <w:sz w:val="24"/>
              </w:rPr>
              <w:t>5</w:t>
            </w:r>
            <w:r>
              <w:rPr>
                <w:rFonts w:hint="eastAsia"/>
                <w:sz w:val="24"/>
              </w:rPr>
              <w:t>m控制</w:t>
            </w:r>
          </w:p>
        </w:tc>
        <w:tc>
          <w:tcPr>
            <w:tcW w:w="1214" w:type="pct"/>
            <w:vMerge w:val="continue"/>
            <w:tcBorders>
              <w:top w:val="nil"/>
              <w:left w:val="single" w:color="auto" w:sz="4" w:space="0"/>
              <w:bottom w:val="single" w:color="000000" w:sz="4" w:space="0"/>
              <w:right w:val="double" w:color="auto" w:sz="4" w:space="0"/>
            </w:tcBorders>
            <w:vAlign w:val="center"/>
          </w:tcPr>
          <w:p>
            <w:pPr>
              <w:pStyle w:val="19"/>
              <w:rPr>
                <w:sz w:val="24"/>
              </w:rPr>
            </w:pPr>
          </w:p>
        </w:tc>
      </w:tr>
      <w:tr>
        <w:tblPrEx>
          <w:tblCellMar>
            <w:top w:w="0" w:type="dxa"/>
            <w:left w:w="108" w:type="dxa"/>
            <w:bottom w:w="0" w:type="dxa"/>
            <w:right w:w="108" w:type="dxa"/>
          </w:tblCellMar>
        </w:tblPrEx>
        <w:trPr>
          <w:trHeight w:val="570"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19</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水均岗涌（左右岸）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　</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包含堤防建设及护堤地范围，堤内与河道管理范围线保持一致，堤外在保证工程安全和管理运用方便的前提下，按照</w:t>
            </w:r>
            <w:r>
              <w:rPr>
                <w:sz w:val="24"/>
              </w:rPr>
              <w:t>2</w:t>
            </w:r>
            <w:r>
              <w:rPr>
                <w:rFonts w:hint="eastAsia"/>
                <w:sz w:val="24"/>
              </w:rPr>
              <w:t>m控制</w:t>
            </w:r>
          </w:p>
        </w:tc>
        <w:tc>
          <w:tcPr>
            <w:tcW w:w="1214" w:type="pct"/>
            <w:vMerge w:val="continue"/>
            <w:tcBorders>
              <w:top w:val="nil"/>
              <w:left w:val="single" w:color="auto" w:sz="4" w:space="0"/>
              <w:bottom w:val="single" w:color="000000" w:sz="4" w:space="0"/>
              <w:right w:val="double" w:color="auto" w:sz="4" w:space="0"/>
            </w:tcBorders>
            <w:vAlign w:val="center"/>
          </w:tcPr>
          <w:p>
            <w:pPr>
              <w:pStyle w:val="19"/>
              <w:rPr>
                <w:sz w:val="24"/>
              </w:rPr>
            </w:pPr>
          </w:p>
        </w:tc>
      </w:tr>
      <w:tr>
        <w:tblPrEx>
          <w:tblCellMar>
            <w:top w:w="0" w:type="dxa"/>
            <w:left w:w="108" w:type="dxa"/>
            <w:bottom w:w="0" w:type="dxa"/>
            <w:right w:w="108" w:type="dxa"/>
          </w:tblCellMar>
        </w:tblPrEx>
        <w:trPr>
          <w:trHeight w:val="570"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20</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景泰涌（越秀段）（左右岸）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　</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包含堤防建设及护堤地范围，堤内与河道管理范围线保持一致，堤外按照不小于规范要求</w:t>
            </w:r>
            <w:r>
              <w:rPr>
                <w:sz w:val="24"/>
              </w:rPr>
              <w:t>5</w:t>
            </w:r>
            <w:r>
              <w:rPr>
                <w:rFonts w:hint="eastAsia"/>
                <w:sz w:val="24"/>
              </w:rPr>
              <w:t>m控制</w:t>
            </w:r>
          </w:p>
        </w:tc>
        <w:tc>
          <w:tcPr>
            <w:tcW w:w="1214" w:type="pct"/>
            <w:vMerge w:val="continue"/>
            <w:tcBorders>
              <w:top w:val="nil"/>
              <w:left w:val="single" w:color="auto" w:sz="4" w:space="0"/>
              <w:bottom w:val="single" w:color="000000" w:sz="4" w:space="0"/>
              <w:right w:val="double" w:color="auto" w:sz="4" w:space="0"/>
            </w:tcBorders>
            <w:vAlign w:val="center"/>
          </w:tcPr>
          <w:p>
            <w:pPr>
              <w:pStyle w:val="19"/>
              <w:rPr>
                <w:sz w:val="24"/>
              </w:rPr>
            </w:pPr>
          </w:p>
        </w:tc>
      </w:tr>
      <w:tr>
        <w:tblPrEx>
          <w:tblCellMar>
            <w:top w:w="0" w:type="dxa"/>
            <w:left w:w="108" w:type="dxa"/>
            <w:bottom w:w="0" w:type="dxa"/>
            <w:right w:w="108" w:type="dxa"/>
          </w:tblCellMar>
        </w:tblPrEx>
        <w:trPr>
          <w:trHeight w:val="570" w:hRule="atLeast"/>
        </w:trPr>
        <w:tc>
          <w:tcPr>
            <w:tcW w:w="267" w:type="pct"/>
            <w:tcBorders>
              <w:top w:val="nil"/>
              <w:left w:val="double" w:color="auto" w:sz="4" w:space="0"/>
              <w:bottom w:val="single" w:color="auto" w:sz="4" w:space="0"/>
              <w:right w:val="nil"/>
            </w:tcBorders>
            <w:shd w:val="clear" w:color="auto" w:fill="auto"/>
            <w:noWrap/>
            <w:vAlign w:val="center"/>
          </w:tcPr>
          <w:p>
            <w:pPr>
              <w:pStyle w:val="19"/>
              <w:rPr>
                <w:sz w:val="24"/>
              </w:rPr>
            </w:pPr>
            <w:r>
              <w:rPr>
                <w:rFonts w:hint="eastAsia"/>
                <w:sz w:val="24"/>
              </w:rPr>
              <w:t>21</w:t>
            </w:r>
          </w:p>
        </w:tc>
        <w:tc>
          <w:tcPr>
            <w:tcW w:w="459" w:type="pct"/>
            <w:vMerge w:val="continue"/>
            <w:tcBorders>
              <w:top w:val="nil"/>
              <w:left w:val="single" w:color="auto" w:sz="4" w:space="0"/>
              <w:bottom w:val="single" w:color="auto" w:sz="4" w:space="0"/>
              <w:right w:val="single" w:color="auto" w:sz="4" w:space="0"/>
            </w:tcBorders>
            <w:vAlign w:val="center"/>
          </w:tcPr>
          <w:p>
            <w:pPr>
              <w:pStyle w:val="19"/>
              <w:rPr>
                <w:sz w:val="24"/>
              </w:rPr>
            </w:pPr>
          </w:p>
        </w:tc>
        <w:tc>
          <w:tcPr>
            <w:tcW w:w="978"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新河浦涌（左右岸）</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　</w:t>
            </w:r>
          </w:p>
        </w:tc>
        <w:tc>
          <w:tcPr>
            <w:tcW w:w="459" w:type="pct"/>
            <w:tcBorders>
              <w:top w:val="nil"/>
              <w:left w:val="nil"/>
              <w:bottom w:val="sing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single" w:color="auto" w:sz="4" w:space="0"/>
              <w:right w:val="single" w:color="auto" w:sz="4" w:space="0"/>
            </w:tcBorders>
            <w:shd w:val="clear" w:color="auto" w:fill="auto"/>
            <w:vAlign w:val="center"/>
          </w:tcPr>
          <w:p>
            <w:pPr>
              <w:pStyle w:val="19"/>
              <w:rPr>
                <w:sz w:val="24"/>
              </w:rPr>
            </w:pPr>
            <w:r>
              <w:rPr>
                <w:rFonts w:hint="eastAsia"/>
                <w:sz w:val="24"/>
              </w:rPr>
              <w:t>包含堤防建设及护堤地范围，堤内与河道管理范围线保持一致，堤外按照规范要求5m控制</w:t>
            </w:r>
          </w:p>
        </w:tc>
        <w:tc>
          <w:tcPr>
            <w:tcW w:w="1214" w:type="pct"/>
            <w:vMerge w:val="continue"/>
            <w:tcBorders>
              <w:top w:val="nil"/>
              <w:left w:val="single" w:color="auto" w:sz="4" w:space="0"/>
              <w:bottom w:val="single" w:color="000000" w:sz="4" w:space="0"/>
              <w:right w:val="double" w:color="auto" w:sz="4" w:space="0"/>
            </w:tcBorders>
            <w:vAlign w:val="center"/>
          </w:tcPr>
          <w:p>
            <w:pPr>
              <w:pStyle w:val="19"/>
              <w:rPr>
                <w:sz w:val="24"/>
              </w:rPr>
            </w:pPr>
          </w:p>
        </w:tc>
      </w:tr>
      <w:tr>
        <w:tblPrEx>
          <w:tblCellMar>
            <w:top w:w="0" w:type="dxa"/>
            <w:left w:w="108" w:type="dxa"/>
            <w:bottom w:w="0" w:type="dxa"/>
            <w:right w:w="108" w:type="dxa"/>
          </w:tblCellMar>
        </w:tblPrEx>
        <w:trPr>
          <w:trHeight w:val="570" w:hRule="atLeast"/>
        </w:trPr>
        <w:tc>
          <w:tcPr>
            <w:tcW w:w="267" w:type="pct"/>
            <w:tcBorders>
              <w:top w:val="nil"/>
              <w:left w:val="double" w:color="auto" w:sz="4" w:space="0"/>
              <w:bottom w:val="double" w:color="auto" w:sz="4" w:space="0"/>
              <w:right w:val="nil"/>
            </w:tcBorders>
            <w:shd w:val="clear" w:color="auto" w:fill="auto"/>
            <w:noWrap/>
            <w:vAlign w:val="center"/>
          </w:tcPr>
          <w:p>
            <w:pPr>
              <w:pStyle w:val="19"/>
              <w:rPr>
                <w:sz w:val="24"/>
              </w:rPr>
            </w:pPr>
            <w:r>
              <w:rPr>
                <w:rFonts w:hint="eastAsia"/>
                <w:sz w:val="24"/>
              </w:rPr>
              <w:t>22</w:t>
            </w:r>
          </w:p>
        </w:tc>
        <w:tc>
          <w:tcPr>
            <w:tcW w:w="459" w:type="pct"/>
            <w:vMerge w:val="continue"/>
            <w:tcBorders>
              <w:top w:val="nil"/>
              <w:left w:val="single" w:color="auto" w:sz="4" w:space="0"/>
              <w:bottom w:val="double" w:color="auto" w:sz="4" w:space="0"/>
              <w:right w:val="single" w:color="auto" w:sz="4" w:space="0"/>
            </w:tcBorders>
            <w:vAlign w:val="center"/>
          </w:tcPr>
          <w:p>
            <w:pPr>
              <w:pStyle w:val="19"/>
              <w:rPr>
                <w:sz w:val="24"/>
              </w:rPr>
            </w:pPr>
          </w:p>
        </w:tc>
        <w:tc>
          <w:tcPr>
            <w:tcW w:w="978" w:type="pct"/>
            <w:tcBorders>
              <w:top w:val="nil"/>
              <w:left w:val="nil"/>
              <w:bottom w:val="double" w:color="auto" w:sz="4" w:space="0"/>
              <w:right w:val="single" w:color="auto" w:sz="4" w:space="0"/>
            </w:tcBorders>
            <w:shd w:val="clear" w:color="auto" w:fill="auto"/>
            <w:noWrap/>
            <w:vAlign w:val="center"/>
          </w:tcPr>
          <w:p>
            <w:pPr>
              <w:pStyle w:val="19"/>
              <w:rPr>
                <w:sz w:val="24"/>
              </w:rPr>
            </w:pPr>
            <w:r>
              <w:rPr>
                <w:rFonts w:hint="eastAsia"/>
                <w:sz w:val="24"/>
              </w:rPr>
              <w:t>新市涌（越秀段）（左岸）</w:t>
            </w:r>
          </w:p>
        </w:tc>
        <w:tc>
          <w:tcPr>
            <w:tcW w:w="459" w:type="pct"/>
            <w:tcBorders>
              <w:top w:val="nil"/>
              <w:left w:val="nil"/>
              <w:bottom w:val="double" w:color="auto" w:sz="4" w:space="0"/>
              <w:right w:val="single" w:color="auto" w:sz="4" w:space="0"/>
            </w:tcBorders>
            <w:shd w:val="clear" w:color="auto" w:fill="auto"/>
            <w:noWrap/>
            <w:vAlign w:val="center"/>
          </w:tcPr>
          <w:p>
            <w:pPr>
              <w:pStyle w:val="19"/>
              <w:rPr>
                <w:sz w:val="24"/>
              </w:rPr>
            </w:pPr>
            <w:r>
              <w:rPr>
                <w:rFonts w:hint="eastAsia"/>
                <w:sz w:val="24"/>
              </w:rPr>
              <w:t>　</w:t>
            </w:r>
          </w:p>
        </w:tc>
        <w:tc>
          <w:tcPr>
            <w:tcW w:w="459" w:type="pct"/>
            <w:tcBorders>
              <w:top w:val="nil"/>
              <w:left w:val="nil"/>
              <w:bottom w:val="double" w:color="auto" w:sz="4" w:space="0"/>
              <w:right w:val="single" w:color="auto" w:sz="4" w:space="0"/>
            </w:tcBorders>
            <w:shd w:val="clear" w:color="auto" w:fill="auto"/>
            <w:noWrap/>
            <w:vAlign w:val="center"/>
          </w:tcPr>
          <w:p>
            <w:pPr>
              <w:pStyle w:val="19"/>
              <w:rPr>
                <w:sz w:val="24"/>
              </w:rPr>
            </w:pPr>
            <w:r>
              <w:rPr>
                <w:rFonts w:hint="eastAsia"/>
                <w:sz w:val="24"/>
              </w:rPr>
              <w:t>4级</w:t>
            </w:r>
          </w:p>
        </w:tc>
        <w:tc>
          <w:tcPr>
            <w:tcW w:w="1163" w:type="pct"/>
            <w:tcBorders>
              <w:top w:val="nil"/>
              <w:left w:val="nil"/>
              <w:bottom w:val="double" w:color="auto" w:sz="4" w:space="0"/>
              <w:right w:val="single" w:color="auto" w:sz="4" w:space="0"/>
            </w:tcBorders>
            <w:shd w:val="clear" w:color="auto" w:fill="auto"/>
            <w:vAlign w:val="center"/>
          </w:tcPr>
          <w:p>
            <w:pPr>
              <w:pStyle w:val="19"/>
              <w:rPr>
                <w:sz w:val="24"/>
              </w:rPr>
            </w:pPr>
            <w:r>
              <w:rPr>
                <w:rFonts w:hint="eastAsia"/>
                <w:sz w:val="24"/>
              </w:rPr>
              <w:t>包含堤防建设及护堤地范围，堤内与河道管理范围线保持一致，堤外按照规范要求10m控制</w:t>
            </w:r>
          </w:p>
        </w:tc>
        <w:tc>
          <w:tcPr>
            <w:tcW w:w="1214" w:type="pct"/>
            <w:vMerge w:val="continue"/>
            <w:tcBorders>
              <w:top w:val="nil"/>
              <w:left w:val="single" w:color="auto" w:sz="4" w:space="0"/>
              <w:bottom w:val="double" w:color="auto" w:sz="4" w:space="0"/>
              <w:right w:val="double" w:color="auto" w:sz="4" w:space="0"/>
            </w:tcBorders>
            <w:vAlign w:val="center"/>
          </w:tcPr>
          <w:p>
            <w:pPr>
              <w:pStyle w:val="19"/>
              <w:rPr>
                <w:sz w:val="24"/>
              </w:rPr>
            </w:pPr>
          </w:p>
        </w:tc>
      </w:tr>
    </w:tbl>
    <w:p>
      <w:pPr>
        <w:ind w:firstLine="560"/>
        <w:rPr>
          <w:sz w:val="28"/>
        </w:rPr>
      </w:pPr>
      <w:r>
        <w:rPr>
          <w:rFonts w:hint="eastAsia"/>
          <w:sz w:val="28"/>
        </w:rPr>
        <w:t>确定</w:t>
      </w:r>
      <w:r>
        <w:rPr>
          <w:sz w:val="28"/>
        </w:rPr>
        <w:t>宽度后，即</w:t>
      </w:r>
      <w:r>
        <w:rPr>
          <w:rFonts w:hint="eastAsia"/>
          <w:sz w:val="28"/>
        </w:rPr>
        <w:t>可以</w:t>
      </w:r>
      <w:r>
        <w:rPr>
          <w:sz w:val="28"/>
        </w:rPr>
        <w:t>实测地形图划定</w:t>
      </w:r>
      <w:r>
        <w:rPr>
          <w:rFonts w:hint="eastAsia"/>
          <w:sz w:val="28"/>
        </w:rPr>
        <w:t>的</w:t>
      </w:r>
      <w:r>
        <w:rPr>
          <w:sz w:val="28"/>
        </w:rPr>
        <w:t>轮廓线、</w:t>
      </w:r>
      <w:r>
        <w:rPr>
          <w:rFonts w:hint="eastAsia"/>
          <w:sz w:val="28"/>
        </w:rPr>
        <w:t>堤顶</w:t>
      </w:r>
      <w:r>
        <w:rPr>
          <w:sz w:val="28"/>
        </w:rPr>
        <w:t>线为基准，</w:t>
      </w:r>
      <w:r>
        <w:rPr>
          <w:rFonts w:hint="eastAsia"/>
          <w:sz w:val="28"/>
        </w:rPr>
        <w:t>外扩</w:t>
      </w:r>
      <w:r>
        <w:rPr>
          <w:sz w:val="28"/>
        </w:rPr>
        <w:t>划定堤防及水闸泵站水利工程管理范围及保护范围。</w:t>
      </w:r>
    </w:p>
    <w:p>
      <w:pPr>
        <w:ind w:firstLine="562"/>
        <w:outlineLvl w:val="1"/>
        <w:rPr>
          <w:b/>
          <w:sz w:val="28"/>
        </w:rPr>
      </w:pPr>
      <w:bookmarkStart w:id="14" w:name="_Toc57638892"/>
      <w:r>
        <w:rPr>
          <w:rFonts w:hint="eastAsia"/>
          <w:b/>
          <w:sz w:val="28"/>
        </w:rPr>
        <w:t>4</w:t>
      </w:r>
      <w:r>
        <w:rPr>
          <w:b/>
          <w:sz w:val="28"/>
        </w:rPr>
        <w:t>、划线成果</w:t>
      </w:r>
      <w:bookmarkEnd w:id="14"/>
    </w:p>
    <w:p>
      <w:pPr>
        <w:ind w:firstLine="560"/>
        <w:rPr>
          <w:sz w:val="28"/>
        </w:rPr>
      </w:pPr>
      <w:r>
        <w:rPr>
          <w:rFonts w:hint="eastAsia"/>
          <w:sz w:val="28"/>
        </w:rPr>
        <w:t>（1）矢量图成果</w:t>
      </w:r>
    </w:p>
    <w:p>
      <w:pPr>
        <w:ind w:firstLine="560"/>
        <w:rPr>
          <w:sz w:val="28"/>
        </w:rPr>
      </w:pPr>
      <w:r>
        <w:rPr>
          <w:rFonts w:hint="eastAsia"/>
          <w:sz w:val="28"/>
        </w:rPr>
        <w:t>本次划线矢量</w:t>
      </w:r>
      <w:r>
        <w:rPr>
          <w:sz w:val="28"/>
        </w:rPr>
        <w:t>成果主要包括：</w:t>
      </w:r>
    </w:p>
    <w:p>
      <w:pPr>
        <w:ind w:firstLine="560"/>
        <w:rPr>
          <w:sz w:val="28"/>
        </w:rPr>
      </w:pPr>
      <w:r>
        <w:rPr>
          <w:rFonts w:hint="eastAsia"/>
          <w:sz w:val="28"/>
        </w:rPr>
        <w:t>1）水闸、泵站等水利工程管理范围和保护范围划定矢量成果。</w:t>
      </w:r>
    </w:p>
    <w:p>
      <w:pPr>
        <w:ind w:firstLine="560"/>
        <w:rPr>
          <w:sz w:val="28"/>
        </w:rPr>
      </w:pPr>
      <w:r>
        <w:rPr>
          <w:rFonts w:hint="eastAsia"/>
          <w:sz w:val="28"/>
        </w:rPr>
        <w:t>2）河涌堤防工程工程管理范围和保护范围划定矢量成果。</w:t>
      </w:r>
    </w:p>
    <w:p>
      <w:pPr>
        <w:ind w:firstLine="560"/>
        <w:rPr>
          <w:sz w:val="28"/>
        </w:rPr>
      </w:pPr>
      <w:r>
        <w:rPr>
          <w:rFonts w:hint="eastAsia"/>
          <w:sz w:val="28"/>
        </w:rPr>
        <w:t>其</w:t>
      </w:r>
      <w:r>
        <w:rPr>
          <w:sz w:val="28"/>
        </w:rPr>
        <w:t>成果见</w:t>
      </w:r>
      <w:r>
        <w:rPr>
          <w:rFonts w:hint="eastAsia"/>
          <w:sz w:val="28"/>
        </w:rPr>
        <w:t>附图</w:t>
      </w:r>
      <w:r>
        <w:rPr>
          <w:sz w:val="28"/>
        </w:rPr>
        <w:t>。</w:t>
      </w:r>
    </w:p>
    <w:p>
      <w:pPr>
        <w:ind w:firstLine="560"/>
        <w:rPr>
          <w:sz w:val="28"/>
        </w:rPr>
      </w:pPr>
      <w:r>
        <w:rPr>
          <w:rFonts w:hint="eastAsia"/>
          <w:sz w:val="28"/>
        </w:rPr>
        <w:t>注：坐标系统均为广州坐标系，高程为广州城建高程基准。</w:t>
      </w:r>
    </w:p>
    <w:p>
      <w:pPr>
        <w:ind w:firstLine="560"/>
        <w:rPr>
          <w:rFonts w:hint="eastAsia" w:eastAsia="宋体"/>
          <w:sz w:val="28"/>
          <w:lang w:val="en-US" w:eastAsia="zh-CN"/>
        </w:rPr>
      </w:pPr>
      <w:r>
        <w:rPr>
          <w:rFonts w:hint="eastAsia"/>
          <w:sz w:val="28"/>
        </w:rPr>
        <w:t>（2）水闸泵站控制点坐标成果</w:t>
      </w:r>
      <w:r>
        <w:rPr>
          <w:rFonts w:hint="eastAsia"/>
          <w:sz w:val="28"/>
          <w:lang w:val="en-US" w:eastAsia="zh-CN"/>
        </w:rPr>
        <w:t>（略）</w:t>
      </w:r>
    </w:p>
    <w:p>
      <w:pPr>
        <w:ind w:firstLine="560"/>
        <w:rPr>
          <w:sz w:val="28"/>
        </w:rPr>
      </w:pPr>
      <w:r>
        <w:rPr>
          <w:rFonts w:hint="eastAsia"/>
          <w:sz w:val="28"/>
        </w:rPr>
        <w:t>（3）水闸泵站管理范围</w:t>
      </w:r>
      <w:r>
        <w:rPr>
          <w:sz w:val="28"/>
        </w:rPr>
        <w:t>及保护范围</w:t>
      </w:r>
      <w:r>
        <w:rPr>
          <w:rFonts w:hint="eastAsia"/>
          <w:sz w:val="28"/>
        </w:rPr>
        <w:t>面积统计成果</w:t>
      </w:r>
    </w:p>
    <w:p>
      <w:pPr>
        <w:ind w:firstLine="560"/>
        <w:rPr>
          <w:sz w:val="28"/>
        </w:rPr>
      </w:pPr>
      <w:r>
        <w:rPr>
          <w:rFonts w:hint="eastAsia"/>
          <w:sz w:val="28"/>
        </w:rPr>
        <w:t>统计水闸泵站管理范围及保护范围面积见下表</w:t>
      </w:r>
      <w:r>
        <w:rPr>
          <w:sz w:val="28"/>
        </w:rPr>
        <w:t>。</w:t>
      </w:r>
    </w:p>
    <w:p>
      <w:pPr>
        <w:pStyle w:val="21"/>
        <w:rPr>
          <w:sz w:val="28"/>
        </w:rPr>
      </w:pPr>
      <w:r>
        <w:rPr>
          <w:rFonts w:hint="eastAsia"/>
          <w:sz w:val="28"/>
        </w:rPr>
        <w:t>表</w:t>
      </w:r>
      <w:r>
        <w:rPr>
          <w:sz w:val="28"/>
        </w:rPr>
        <w:t xml:space="preserve">4-7 </w:t>
      </w:r>
      <w:r>
        <w:rPr>
          <w:rFonts w:hint="eastAsia"/>
          <w:sz w:val="28"/>
        </w:rPr>
        <w:t>水闸</w:t>
      </w:r>
      <w:r>
        <w:rPr>
          <w:sz w:val="28"/>
        </w:rPr>
        <w:t>泵站</w:t>
      </w:r>
      <w:r>
        <w:rPr>
          <w:rFonts w:hint="eastAsia"/>
          <w:sz w:val="28"/>
        </w:rPr>
        <w:t>工程管理范围</w:t>
      </w:r>
      <w:r>
        <w:rPr>
          <w:sz w:val="28"/>
        </w:rPr>
        <w:t>及保护范围</w:t>
      </w:r>
      <w:r>
        <w:rPr>
          <w:rFonts w:hint="eastAsia"/>
          <w:sz w:val="28"/>
        </w:rPr>
        <w:t>统计表</w:t>
      </w:r>
    </w:p>
    <w:tbl>
      <w:tblPr>
        <w:tblStyle w:val="12"/>
        <w:tblW w:w="5000" w:type="pct"/>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80"/>
        <w:gridCol w:w="2495"/>
        <w:gridCol w:w="4196"/>
        <w:gridCol w:w="3510"/>
        <w:gridCol w:w="2495"/>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trPr>
        <w:tc>
          <w:tcPr>
            <w:tcW w:w="522" w:type="pct"/>
            <w:shd w:val="clear" w:color="auto" w:fill="auto"/>
            <w:noWrap/>
            <w:vAlign w:val="center"/>
          </w:tcPr>
          <w:p>
            <w:pPr>
              <w:pStyle w:val="19"/>
              <w:rPr>
                <w:sz w:val="24"/>
                <w:szCs w:val="24"/>
              </w:rPr>
            </w:pPr>
            <w:r>
              <w:rPr>
                <w:rFonts w:hint="eastAsia"/>
                <w:sz w:val="24"/>
                <w:szCs w:val="24"/>
              </w:rPr>
              <w:t>序号</w:t>
            </w:r>
          </w:p>
        </w:tc>
        <w:tc>
          <w:tcPr>
            <w:tcW w:w="880" w:type="pct"/>
            <w:shd w:val="clear" w:color="auto" w:fill="auto"/>
            <w:noWrap/>
            <w:vAlign w:val="center"/>
          </w:tcPr>
          <w:p>
            <w:pPr>
              <w:pStyle w:val="19"/>
              <w:rPr>
                <w:sz w:val="24"/>
                <w:szCs w:val="24"/>
              </w:rPr>
            </w:pPr>
            <w:r>
              <w:rPr>
                <w:rFonts w:hint="eastAsia"/>
                <w:sz w:val="24"/>
                <w:szCs w:val="24"/>
              </w:rPr>
              <w:t>水利工程名称</w:t>
            </w:r>
          </w:p>
        </w:tc>
        <w:tc>
          <w:tcPr>
            <w:tcW w:w="1480" w:type="pct"/>
            <w:shd w:val="clear" w:color="auto" w:fill="auto"/>
            <w:noWrap/>
            <w:vAlign w:val="center"/>
          </w:tcPr>
          <w:p>
            <w:pPr>
              <w:pStyle w:val="19"/>
              <w:rPr>
                <w:sz w:val="24"/>
                <w:szCs w:val="24"/>
              </w:rPr>
            </w:pPr>
            <w:r>
              <w:rPr>
                <w:rFonts w:hint="eastAsia"/>
                <w:sz w:val="24"/>
                <w:szCs w:val="24"/>
              </w:rPr>
              <w:t>工程管理范围面积（公顷）</w:t>
            </w:r>
          </w:p>
        </w:tc>
        <w:tc>
          <w:tcPr>
            <w:tcW w:w="1238" w:type="pct"/>
            <w:shd w:val="clear" w:color="auto" w:fill="auto"/>
            <w:noWrap/>
            <w:vAlign w:val="center"/>
          </w:tcPr>
          <w:p>
            <w:pPr>
              <w:pStyle w:val="19"/>
              <w:rPr>
                <w:sz w:val="24"/>
                <w:szCs w:val="24"/>
              </w:rPr>
            </w:pPr>
            <w:r>
              <w:rPr>
                <w:rFonts w:hint="eastAsia"/>
                <w:sz w:val="24"/>
                <w:szCs w:val="24"/>
              </w:rPr>
              <w:t>保护范围面积（公顷）</w:t>
            </w:r>
          </w:p>
        </w:tc>
        <w:tc>
          <w:tcPr>
            <w:tcW w:w="880" w:type="pct"/>
            <w:shd w:val="clear" w:color="auto" w:fill="auto"/>
            <w:noWrap/>
            <w:vAlign w:val="center"/>
          </w:tcPr>
          <w:p>
            <w:pPr>
              <w:pStyle w:val="19"/>
              <w:rPr>
                <w:sz w:val="24"/>
                <w:szCs w:val="24"/>
              </w:rPr>
            </w:pPr>
            <w:r>
              <w:rPr>
                <w:rFonts w:hint="eastAsia"/>
                <w:sz w:val="24"/>
                <w:szCs w:val="24"/>
              </w:rPr>
              <w:t>总面积（公顷）</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1</w:t>
            </w:r>
          </w:p>
        </w:tc>
        <w:tc>
          <w:tcPr>
            <w:tcW w:w="880" w:type="pct"/>
            <w:shd w:val="clear" w:color="auto" w:fill="auto"/>
            <w:noWrap/>
            <w:vAlign w:val="center"/>
          </w:tcPr>
          <w:p>
            <w:pPr>
              <w:pStyle w:val="19"/>
              <w:rPr>
                <w:sz w:val="24"/>
                <w:szCs w:val="24"/>
              </w:rPr>
            </w:pPr>
            <w:r>
              <w:rPr>
                <w:rFonts w:hint="eastAsia"/>
                <w:sz w:val="24"/>
                <w:szCs w:val="24"/>
              </w:rPr>
              <w:t>东濠涌水闸</w:t>
            </w:r>
          </w:p>
        </w:tc>
        <w:tc>
          <w:tcPr>
            <w:tcW w:w="1480" w:type="pct"/>
            <w:shd w:val="clear" w:color="auto" w:fill="auto"/>
            <w:noWrap/>
            <w:vAlign w:val="center"/>
          </w:tcPr>
          <w:p>
            <w:pPr>
              <w:pStyle w:val="19"/>
              <w:rPr>
                <w:sz w:val="24"/>
                <w:szCs w:val="24"/>
              </w:rPr>
            </w:pPr>
            <w:r>
              <w:rPr>
                <w:rFonts w:hint="eastAsia"/>
                <w:sz w:val="24"/>
                <w:szCs w:val="24"/>
              </w:rPr>
              <w:t xml:space="preserve">3.40 </w:t>
            </w:r>
          </w:p>
        </w:tc>
        <w:tc>
          <w:tcPr>
            <w:tcW w:w="1238" w:type="pct"/>
            <w:shd w:val="clear" w:color="auto" w:fill="auto"/>
            <w:noWrap/>
            <w:vAlign w:val="center"/>
          </w:tcPr>
          <w:p>
            <w:pPr>
              <w:pStyle w:val="19"/>
              <w:rPr>
                <w:sz w:val="24"/>
                <w:szCs w:val="24"/>
              </w:rPr>
            </w:pPr>
            <w:r>
              <w:rPr>
                <w:rFonts w:hint="eastAsia"/>
                <w:sz w:val="24"/>
                <w:szCs w:val="24"/>
              </w:rPr>
              <w:t xml:space="preserve">18.57 </w:t>
            </w:r>
          </w:p>
        </w:tc>
        <w:tc>
          <w:tcPr>
            <w:tcW w:w="880" w:type="pct"/>
            <w:shd w:val="clear" w:color="auto" w:fill="auto"/>
            <w:noWrap/>
            <w:vAlign w:val="center"/>
          </w:tcPr>
          <w:p>
            <w:pPr>
              <w:pStyle w:val="19"/>
              <w:rPr>
                <w:sz w:val="24"/>
                <w:szCs w:val="24"/>
              </w:rPr>
            </w:pPr>
            <w:r>
              <w:rPr>
                <w:rFonts w:hint="eastAsia"/>
                <w:sz w:val="24"/>
                <w:szCs w:val="24"/>
              </w:rPr>
              <w:t xml:space="preserve">21.97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2</w:t>
            </w:r>
          </w:p>
        </w:tc>
        <w:tc>
          <w:tcPr>
            <w:tcW w:w="880" w:type="pct"/>
            <w:shd w:val="clear" w:color="auto" w:fill="auto"/>
            <w:noWrap/>
            <w:vAlign w:val="center"/>
          </w:tcPr>
          <w:p>
            <w:pPr>
              <w:pStyle w:val="19"/>
              <w:rPr>
                <w:sz w:val="24"/>
                <w:szCs w:val="24"/>
              </w:rPr>
            </w:pPr>
            <w:r>
              <w:rPr>
                <w:rFonts w:hint="eastAsia"/>
                <w:sz w:val="24"/>
                <w:szCs w:val="24"/>
              </w:rPr>
              <w:t>东濠涌排涝泵站</w:t>
            </w:r>
          </w:p>
        </w:tc>
        <w:tc>
          <w:tcPr>
            <w:tcW w:w="1480" w:type="pct"/>
            <w:shd w:val="clear" w:color="auto" w:fill="auto"/>
            <w:noWrap/>
            <w:vAlign w:val="center"/>
          </w:tcPr>
          <w:p>
            <w:pPr>
              <w:pStyle w:val="19"/>
              <w:rPr>
                <w:sz w:val="24"/>
                <w:szCs w:val="24"/>
              </w:rPr>
            </w:pPr>
            <w:r>
              <w:rPr>
                <w:rFonts w:hint="eastAsia"/>
                <w:sz w:val="24"/>
                <w:szCs w:val="24"/>
              </w:rPr>
              <w:t xml:space="preserve">2.55 </w:t>
            </w:r>
          </w:p>
        </w:tc>
        <w:tc>
          <w:tcPr>
            <w:tcW w:w="1238" w:type="pct"/>
            <w:shd w:val="clear" w:color="auto" w:fill="auto"/>
            <w:noWrap/>
            <w:vAlign w:val="center"/>
          </w:tcPr>
          <w:p>
            <w:pPr>
              <w:pStyle w:val="19"/>
              <w:rPr>
                <w:sz w:val="24"/>
                <w:szCs w:val="24"/>
              </w:rPr>
            </w:pPr>
            <w:r>
              <w:rPr>
                <w:rFonts w:hint="eastAsia"/>
                <w:sz w:val="24"/>
                <w:szCs w:val="24"/>
              </w:rPr>
              <w:t xml:space="preserve">10.40 </w:t>
            </w:r>
          </w:p>
        </w:tc>
        <w:tc>
          <w:tcPr>
            <w:tcW w:w="880" w:type="pct"/>
            <w:shd w:val="clear" w:color="auto" w:fill="auto"/>
            <w:noWrap/>
            <w:vAlign w:val="center"/>
          </w:tcPr>
          <w:p>
            <w:pPr>
              <w:pStyle w:val="19"/>
              <w:rPr>
                <w:sz w:val="24"/>
                <w:szCs w:val="24"/>
              </w:rPr>
            </w:pPr>
            <w:r>
              <w:rPr>
                <w:rFonts w:hint="eastAsia"/>
                <w:sz w:val="24"/>
                <w:szCs w:val="24"/>
              </w:rPr>
              <w:t xml:space="preserve">12.95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3</w:t>
            </w:r>
          </w:p>
        </w:tc>
        <w:tc>
          <w:tcPr>
            <w:tcW w:w="880" w:type="pct"/>
            <w:shd w:val="clear" w:color="auto" w:fill="auto"/>
            <w:noWrap/>
            <w:vAlign w:val="center"/>
          </w:tcPr>
          <w:p>
            <w:pPr>
              <w:pStyle w:val="19"/>
              <w:rPr>
                <w:sz w:val="24"/>
                <w:szCs w:val="24"/>
              </w:rPr>
            </w:pPr>
            <w:r>
              <w:rPr>
                <w:rFonts w:hint="eastAsia"/>
                <w:sz w:val="24"/>
                <w:szCs w:val="24"/>
              </w:rPr>
              <w:t>东濠涌补水泵站</w:t>
            </w:r>
          </w:p>
        </w:tc>
        <w:tc>
          <w:tcPr>
            <w:tcW w:w="1480" w:type="pct"/>
            <w:shd w:val="clear" w:color="auto" w:fill="auto"/>
            <w:noWrap/>
            <w:vAlign w:val="center"/>
          </w:tcPr>
          <w:p>
            <w:pPr>
              <w:pStyle w:val="19"/>
              <w:rPr>
                <w:sz w:val="24"/>
                <w:szCs w:val="24"/>
              </w:rPr>
            </w:pPr>
            <w:r>
              <w:rPr>
                <w:rFonts w:hint="eastAsia"/>
                <w:sz w:val="24"/>
                <w:szCs w:val="24"/>
              </w:rPr>
              <w:t xml:space="preserve">0.60 </w:t>
            </w:r>
          </w:p>
        </w:tc>
        <w:tc>
          <w:tcPr>
            <w:tcW w:w="1238" w:type="pct"/>
            <w:shd w:val="clear" w:color="auto" w:fill="auto"/>
            <w:noWrap/>
            <w:vAlign w:val="center"/>
          </w:tcPr>
          <w:p>
            <w:pPr>
              <w:pStyle w:val="19"/>
              <w:rPr>
                <w:sz w:val="24"/>
                <w:szCs w:val="24"/>
              </w:rPr>
            </w:pPr>
            <w:r>
              <w:rPr>
                <w:rFonts w:hint="eastAsia"/>
                <w:sz w:val="24"/>
                <w:szCs w:val="24"/>
              </w:rPr>
              <w:t xml:space="preserve">7.11 </w:t>
            </w:r>
          </w:p>
        </w:tc>
        <w:tc>
          <w:tcPr>
            <w:tcW w:w="880" w:type="pct"/>
            <w:shd w:val="clear" w:color="auto" w:fill="auto"/>
            <w:noWrap/>
            <w:vAlign w:val="center"/>
          </w:tcPr>
          <w:p>
            <w:pPr>
              <w:pStyle w:val="19"/>
              <w:rPr>
                <w:sz w:val="24"/>
                <w:szCs w:val="24"/>
              </w:rPr>
            </w:pPr>
            <w:r>
              <w:rPr>
                <w:rFonts w:hint="eastAsia"/>
                <w:sz w:val="24"/>
                <w:szCs w:val="24"/>
              </w:rPr>
              <w:t xml:space="preserve">7.72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4</w:t>
            </w:r>
          </w:p>
        </w:tc>
        <w:tc>
          <w:tcPr>
            <w:tcW w:w="880" w:type="pct"/>
            <w:shd w:val="clear" w:color="auto" w:fill="auto"/>
            <w:noWrap/>
            <w:vAlign w:val="center"/>
          </w:tcPr>
          <w:p>
            <w:pPr>
              <w:pStyle w:val="19"/>
              <w:rPr>
                <w:sz w:val="24"/>
                <w:szCs w:val="24"/>
              </w:rPr>
            </w:pPr>
            <w:r>
              <w:rPr>
                <w:rFonts w:hint="eastAsia"/>
                <w:sz w:val="24"/>
                <w:szCs w:val="24"/>
              </w:rPr>
              <w:t>沙河涌水闸</w:t>
            </w:r>
          </w:p>
        </w:tc>
        <w:tc>
          <w:tcPr>
            <w:tcW w:w="1480" w:type="pct"/>
            <w:shd w:val="clear" w:color="auto" w:fill="auto"/>
            <w:noWrap/>
            <w:vAlign w:val="center"/>
          </w:tcPr>
          <w:p>
            <w:pPr>
              <w:pStyle w:val="19"/>
              <w:rPr>
                <w:sz w:val="24"/>
                <w:szCs w:val="24"/>
              </w:rPr>
            </w:pPr>
            <w:r>
              <w:rPr>
                <w:rFonts w:hint="eastAsia"/>
                <w:sz w:val="24"/>
                <w:szCs w:val="24"/>
              </w:rPr>
              <w:t xml:space="preserve">3.15 </w:t>
            </w:r>
          </w:p>
        </w:tc>
        <w:tc>
          <w:tcPr>
            <w:tcW w:w="1238" w:type="pct"/>
            <w:shd w:val="clear" w:color="auto" w:fill="auto"/>
            <w:noWrap/>
            <w:vAlign w:val="center"/>
          </w:tcPr>
          <w:p>
            <w:pPr>
              <w:pStyle w:val="19"/>
              <w:rPr>
                <w:sz w:val="24"/>
                <w:szCs w:val="24"/>
              </w:rPr>
            </w:pPr>
            <w:r>
              <w:rPr>
                <w:rFonts w:hint="eastAsia"/>
                <w:sz w:val="24"/>
                <w:szCs w:val="24"/>
              </w:rPr>
              <w:t xml:space="preserve">18.25 </w:t>
            </w:r>
          </w:p>
        </w:tc>
        <w:tc>
          <w:tcPr>
            <w:tcW w:w="880" w:type="pct"/>
            <w:shd w:val="clear" w:color="auto" w:fill="auto"/>
            <w:noWrap/>
            <w:vAlign w:val="center"/>
          </w:tcPr>
          <w:p>
            <w:pPr>
              <w:pStyle w:val="19"/>
              <w:rPr>
                <w:sz w:val="24"/>
                <w:szCs w:val="24"/>
              </w:rPr>
            </w:pPr>
            <w:r>
              <w:rPr>
                <w:rFonts w:hint="eastAsia"/>
                <w:sz w:val="24"/>
                <w:szCs w:val="24"/>
              </w:rPr>
              <w:t xml:space="preserve">21.40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5</w:t>
            </w:r>
          </w:p>
        </w:tc>
        <w:tc>
          <w:tcPr>
            <w:tcW w:w="880" w:type="pct"/>
            <w:shd w:val="clear" w:color="auto" w:fill="auto"/>
            <w:noWrap/>
            <w:vAlign w:val="center"/>
          </w:tcPr>
          <w:p>
            <w:pPr>
              <w:pStyle w:val="19"/>
              <w:rPr>
                <w:sz w:val="24"/>
                <w:szCs w:val="24"/>
              </w:rPr>
            </w:pPr>
            <w:r>
              <w:rPr>
                <w:rFonts w:hint="eastAsia"/>
                <w:sz w:val="24"/>
                <w:szCs w:val="24"/>
              </w:rPr>
              <w:t>水均岗水闸</w:t>
            </w:r>
          </w:p>
        </w:tc>
        <w:tc>
          <w:tcPr>
            <w:tcW w:w="1480" w:type="pct"/>
            <w:shd w:val="clear" w:color="auto" w:fill="auto"/>
            <w:noWrap/>
            <w:vAlign w:val="center"/>
          </w:tcPr>
          <w:p>
            <w:pPr>
              <w:pStyle w:val="19"/>
              <w:rPr>
                <w:sz w:val="24"/>
                <w:szCs w:val="24"/>
              </w:rPr>
            </w:pPr>
            <w:r>
              <w:rPr>
                <w:rFonts w:hint="eastAsia"/>
                <w:sz w:val="24"/>
                <w:szCs w:val="24"/>
              </w:rPr>
              <w:t xml:space="preserve">0.72 </w:t>
            </w:r>
          </w:p>
        </w:tc>
        <w:tc>
          <w:tcPr>
            <w:tcW w:w="1238" w:type="pct"/>
            <w:shd w:val="clear" w:color="auto" w:fill="auto"/>
            <w:noWrap/>
            <w:vAlign w:val="center"/>
          </w:tcPr>
          <w:p>
            <w:pPr>
              <w:pStyle w:val="19"/>
              <w:rPr>
                <w:sz w:val="24"/>
                <w:szCs w:val="24"/>
              </w:rPr>
            </w:pPr>
            <w:r>
              <w:rPr>
                <w:rFonts w:hint="eastAsia"/>
                <w:sz w:val="24"/>
                <w:szCs w:val="24"/>
              </w:rPr>
              <w:t xml:space="preserve">4.52 </w:t>
            </w:r>
          </w:p>
        </w:tc>
        <w:tc>
          <w:tcPr>
            <w:tcW w:w="880" w:type="pct"/>
            <w:shd w:val="clear" w:color="auto" w:fill="auto"/>
            <w:noWrap/>
            <w:vAlign w:val="center"/>
          </w:tcPr>
          <w:p>
            <w:pPr>
              <w:pStyle w:val="19"/>
              <w:rPr>
                <w:sz w:val="24"/>
                <w:szCs w:val="24"/>
              </w:rPr>
            </w:pPr>
            <w:r>
              <w:rPr>
                <w:rFonts w:hint="eastAsia"/>
                <w:sz w:val="24"/>
                <w:szCs w:val="24"/>
              </w:rPr>
              <w:t xml:space="preserve">5.24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6</w:t>
            </w:r>
          </w:p>
        </w:tc>
        <w:tc>
          <w:tcPr>
            <w:tcW w:w="880" w:type="pct"/>
            <w:shd w:val="clear" w:color="auto" w:fill="auto"/>
            <w:noWrap/>
            <w:vAlign w:val="center"/>
          </w:tcPr>
          <w:p>
            <w:pPr>
              <w:pStyle w:val="19"/>
              <w:rPr>
                <w:sz w:val="24"/>
                <w:szCs w:val="24"/>
              </w:rPr>
            </w:pPr>
            <w:r>
              <w:rPr>
                <w:rFonts w:hint="eastAsia"/>
                <w:sz w:val="24"/>
                <w:szCs w:val="24"/>
              </w:rPr>
              <w:t>东山湖8、9号闸</w:t>
            </w:r>
          </w:p>
        </w:tc>
        <w:tc>
          <w:tcPr>
            <w:tcW w:w="1480" w:type="pct"/>
            <w:shd w:val="clear" w:color="auto" w:fill="auto"/>
            <w:noWrap/>
            <w:vAlign w:val="center"/>
          </w:tcPr>
          <w:p>
            <w:pPr>
              <w:pStyle w:val="19"/>
              <w:rPr>
                <w:sz w:val="24"/>
                <w:szCs w:val="24"/>
              </w:rPr>
            </w:pPr>
            <w:r>
              <w:rPr>
                <w:rFonts w:hint="eastAsia"/>
                <w:sz w:val="24"/>
                <w:szCs w:val="24"/>
              </w:rPr>
              <w:t xml:space="preserve">0.82 </w:t>
            </w:r>
          </w:p>
        </w:tc>
        <w:tc>
          <w:tcPr>
            <w:tcW w:w="1238" w:type="pct"/>
            <w:shd w:val="clear" w:color="auto" w:fill="auto"/>
            <w:noWrap/>
            <w:vAlign w:val="center"/>
          </w:tcPr>
          <w:p>
            <w:pPr>
              <w:pStyle w:val="19"/>
              <w:rPr>
                <w:sz w:val="24"/>
                <w:szCs w:val="24"/>
              </w:rPr>
            </w:pPr>
            <w:r>
              <w:rPr>
                <w:rFonts w:hint="eastAsia"/>
                <w:sz w:val="24"/>
                <w:szCs w:val="24"/>
              </w:rPr>
              <w:t xml:space="preserve">4.52 </w:t>
            </w:r>
          </w:p>
        </w:tc>
        <w:tc>
          <w:tcPr>
            <w:tcW w:w="880" w:type="pct"/>
            <w:shd w:val="clear" w:color="auto" w:fill="auto"/>
            <w:noWrap/>
            <w:vAlign w:val="center"/>
          </w:tcPr>
          <w:p>
            <w:pPr>
              <w:pStyle w:val="19"/>
              <w:rPr>
                <w:sz w:val="24"/>
                <w:szCs w:val="24"/>
              </w:rPr>
            </w:pPr>
            <w:r>
              <w:rPr>
                <w:rFonts w:hint="eastAsia"/>
                <w:sz w:val="24"/>
                <w:szCs w:val="24"/>
              </w:rPr>
              <w:t xml:space="preserve">5.34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7</w:t>
            </w:r>
          </w:p>
        </w:tc>
        <w:tc>
          <w:tcPr>
            <w:tcW w:w="880" w:type="pct"/>
            <w:shd w:val="clear" w:color="auto" w:fill="auto"/>
            <w:noWrap/>
            <w:vAlign w:val="center"/>
          </w:tcPr>
          <w:p>
            <w:pPr>
              <w:pStyle w:val="19"/>
              <w:rPr>
                <w:sz w:val="24"/>
                <w:szCs w:val="24"/>
              </w:rPr>
            </w:pPr>
            <w:r>
              <w:rPr>
                <w:rFonts w:hint="eastAsia"/>
                <w:sz w:val="24"/>
                <w:szCs w:val="24"/>
              </w:rPr>
              <w:t>东山湖6号闸</w:t>
            </w:r>
          </w:p>
        </w:tc>
        <w:tc>
          <w:tcPr>
            <w:tcW w:w="1480" w:type="pct"/>
            <w:shd w:val="clear" w:color="auto" w:fill="auto"/>
            <w:noWrap/>
            <w:vAlign w:val="center"/>
          </w:tcPr>
          <w:p>
            <w:pPr>
              <w:pStyle w:val="19"/>
              <w:rPr>
                <w:sz w:val="24"/>
                <w:szCs w:val="24"/>
              </w:rPr>
            </w:pPr>
            <w:r>
              <w:rPr>
                <w:rFonts w:hint="eastAsia"/>
                <w:sz w:val="24"/>
                <w:szCs w:val="24"/>
              </w:rPr>
              <w:t xml:space="preserve">0.82 </w:t>
            </w:r>
          </w:p>
        </w:tc>
        <w:tc>
          <w:tcPr>
            <w:tcW w:w="1238" w:type="pct"/>
            <w:shd w:val="clear" w:color="auto" w:fill="auto"/>
            <w:noWrap/>
            <w:vAlign w:val="center"/>
          </w:tcPr>
          <w:p>
            <w:pPr>
              <w:pStyle w:val="19"/>
              <w:rPr>
                <w:sz w:val="24"/>
                <w:szCs w:val="24"/>
              </w:rPr>
            </w:pPr>
            <w:r>
              <w:rPr>
                <w:rFonts w:hint="eastAsia"/>
                <w:sz w:val="24"/>
                <w:szCs w:val="24"/>
              </w:rPr>
              <w:t xml:space="preserve">4.56 </w:t>
            </w:r>
          </w:p>
        </w:tc>
        <w:tc>
          <w:tcPr>
            <w:tcW w:w="880" w:type="pct"/>
            <w:shd w:val="clear" w:color="auto" w:fill="auto"/>
            <w:noWrap/>
            <w:vAlign w:val="center"/>
          </w:tcPr>
          <w:p>
            <w:pPr>
              <w:pStyle w:val="19"/>
              <w:rPr>
                <w:sz w:val="24"/>
                <w:szCs w:val="24"/>
              </w:rPr>
            </w:pPr>
            <w:r>
              <w:rPr>
                <w:rFonts w:hint="eastAsia"/>
                <w:sz w:val="24"/>
                <w:szCs w:val="24"/>
              </w:rPr>
              <w:t xml:space="preserve">5.38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8</w:t>
            </w:r>
          </w:p>
        </w:tc>
        <w:tc>
          <w:tcPr>
            <w:tcW w:w="880" w:type="pct"/>
            <w:shd w:val="clear" w:color="auto" w:fill="auto"/>
            <w:noWrap/>
            <w:vAlign w:val="center"/>
          </w:tcPr>
          <w:p>
            <w:pPr>
              <w:pStyle w:val="19"/>
              <w:rPr>
                <w:sz w:val="24"/>
                <w:szCs w:val="24"/>
              </w:rPr>
            </w:pPr>
            <w:r>
              <w:rPr>
                <w:rFonts w:hint="eastAsia"/>
                <w:sz w:val="24"/>
                <w:szCs w:val="24"/>
              </w:rPr>
              <w:t>流花湖2号闸</w:t>
            </w:r>
          </w:p>
        </w:tc>
        <w:tc>
          <w:tcPr>
            <w:tcW w:w="1480" w:type="pct"/>
            <w:shd w:val="clear" w:color="auto" w:fill="auto"/>
            <w:noWrap/>
            <w:vAlign w:val="center"/>
          </w:tcPr>
          <w:p>
            <w:pPr>
              <w:pStyle w:val="19"/>
              <w:rPr>
                <w:sz w:val="24"/>
                <w:szCs w:val="24"/>
              </w:rPr>
            </w:pPr>
            <w:r>
              <w:rPr>
                <w:rFonts w:hint="eastAsia"/>
                <w:sz w:val="24"/>
                <w:szCs w:val="24"/>
              </w:rPr>
              <w:t xml:space="preserve">0.72 </w:t>
            </w:r>
          </w:p>
        </w:tc>
        <w:tc>
          <w:tcPr>
            <w:tcW w:w="1238" w:type="pct"/>
            <w:shd w:val="clear" w:color="auto" w:fill="auto"/>
            <w:noWrap/>
            <w:vAlign w:val="center"/>
          </w:tcPr>
          <w:p>
            <w:pPr>
              <w:pStyle w:val="19"/>
              <w:rPr>
                <w:sz w:val="24"/>
                <w:szCs w:val="24"/>
              </w:rPr>
            </w:pPr>
            <w:r>
              <w:rPr>
                <w:rFonts w:hint="eastAsia"/>
                <w:sz w:val="24"/>
                <w:szCs w:val="24"/>
              </w:rPr>
              <w:t xml:space="preserve">4.41 </w:t>
            </w:r>
          </w:p>
        </w:tc>
        <w:tc>
          <w:tcPr>
            <w:tcW w:w="880" w:type="pct"/>
            <w:shd w:val="clear" w:color="auto" w:fill="auto"/>
            <w:noWrap/>
            <w:vAlign w:val="center"/>
          </w:tcPr>
          <w:p>
            <w:pPr>
              <w:pStyle w:val="19"/>
              <w:rPr>
                <w:sz w:val="24"/>
                <w:szCs w:val="24"/>
              </w:rPr>
            </w:pPr>
            <w:r>
              <w:rPr>
                <w:rFonts w:hint="eastAsia"/>
                <w:sz w:val="24"/>
                <w:szCs w:val="24"/>
              </w:rPr>
              <w:t xml:space="preserve">5.13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9</w:t>
            </w:r>
          </w:p>
        </w:tc>
        <w:tc>
          <w:tcPr>
            <w:tcW w:w="880" w:type="pct"/>
            <w:shd w:val="clear" w:color="auto" w:fill="auto"/>
            <w:noWrap/>
            <w:vAlign w:val="center"/>
          </w:tcPr>
          <w:p>
            <w:pPr>
              <w:pStyle w:val="19"/>
              <w:rPr>
                <w:sz w:val="24"/>
                <w:szCs w:val="24"/>
              </w:rPr>
            </w:pPr>
            <w:r>
              <w:rPr>
                <w:rFonts w:hint="eastAsia"/>
                <w:sz w:val="24"/>
                <w:szCs w:val="24"/>
              </w:rPr>
              <w:t>流花湖3号闸</w:t>
            </w:r>
          </w:p>
        </w:tc>
        <w:tc>
          <w:tcPr>
            <w:tcW w:w="1480" w:type="pct"/>
            <w:shd w:val="clear" w:color="auto" w:fill="auto"/>
            <w:noWrap/>
            <w:vAlign w:val="center"/>
          </w:tcPr>
          <w:p>
            <w:pPr>
              <w:pStyle w:val="19"/>
              <w:rPr>
                <w:sz w:val="24"/>
                <w:szCs w:val="24"/>
              </w:rPr>
            </w:pPr>
            <w:r>
              <w:rPr>
                <w:rFonts w:hint="eastAsia"/>
                <w:sz w:val="24"/>
                <w:szCs w:val="24"/>
              </w:rPr>
              <w:t xml:space="preserve">0.78 </w:t>
            </w:r>
          </w:p>
        </w:tc>
        <w:tc>
          <w:tcPr>
            <w:tcW w:w="1238" w:type="pct"/>
            <w:shd w:val="clear" w:color="auto" w:fill="auto"/>
            <w:noWrap/>
            <w:vAlign w:val="center"/>
          </w:tcPr>
          <w:p>
            <w:pPr>
              <w:pStyle w:val="19"/>
              <w:rPr>
                <w:sz w:val="24"/>
                <w:szCs w:val="24"/>
              </w:rPr>
            </w:pPr>
            <w:r>
              <w:rPr>
                <w:rFonts w:hint="eastAsia"/>
                <w:sz w:val="24"/>
                <w:szCs w:val="24"/>
              </w:rPr>
              <w:t xml:space="preserve">4.53 </w:t>
            </w:r>
          </w:p>
        </w:tc>
        <w:tc>
          <w:tcPr>
            <w:tcW w:w="880" w:type="pct"/>
            <w:shd w:val="clear" w:color="auto" w:fill="auto"/>
            <w:noWrap/>
            <w:vAlign w:val="center"/>
          </w:tcPr>
          <w:p>
            <w:pPr>
              <w:pStyle w:val="19"/>
              <w:rPr>
                <w:sz w:val="24"/>
                <w:szCs w:val="24"/>
              </w:rPr>
            </w:pPr>
            <w:r>
              <w:rPr>
                <w:rFonts w:hint="eastAsia"/>
                <w:sz w:val="24"/>
                <w:szCs w:val="24"/>
              </w:rPr>
              <w:t xml:space="preserve">5.32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10</w:t>
            </w:r>
          </w:p>
        </w:tc>
        <w:tc>
          <w:tcPr>
            <w:tcW w:w="880" w:type="pct"/>
            <w:shd w:val="clear" w:color="auto" w:fill="auto"/>
            <w:noWrap/>
            <w:vAlign w:val="center"/>
          </w:tcPr>
          <w:p>
            <w:pPr>
              <w:pStyle w:val="19"/>
              <w:rPr>
                <w:sz w:val="24"/>
                <w:szCs w:val="24"/>
              </w:rPr>
            </w:pPr>
            <w:r>
              <w:rPr>
                <w:rFonts w:hint="eastAsia"/>
                <w:sz w:val="24"/>
                <w:szCs w:val="24"/>
              </w:rPr>
              <w:t>东山湖4号闸</w:t>
            </w:r>
          </w:p>
        </w:tc>
        <w:tc>
          <w:tcPr>
            <w:tcW w:w="1480" w:type="pct"/>
            <w:shd w:val="clear" w:color="auto" w:fill="auto"/>
            <w:noWrap/>
            <w:vAlign w:val="center"/>
          </w:tcPr>
          <w:p>
            <w:pPr>
              <w:pStyle w:val="19"/>
              <w:rPr>
                <w:sz w:val="24"/>
                <w:szCs w:val="24"/>
              </w:rPr>
            </w:pPr>
            <w:r>
              <w:rPr>
                <w:rFonts w:hint="eastAsia"/>
                <w:sz w:val="24"/>
                <w:szCs w:val="24"/>
              </w:rPr>
              <w:t xml:space="preserve">0.69 </w:t>
            </w:r>
          </w:p>
        </w:tc>
        <w:tc>
          <w:tcPr>
            <w:tcW w:w="1238" w:type="pct"/>
            <w:shd w:val="clear" w:color="auto" w:fill="auto"/>
            <w:noWrap/>
            <w:vAlign w:val="center"/>
          </w:tcPr>
          <w:p>
            <w:pPr>
              <w:pStyle w:val="19"/>
              <w:rPr>
                <w:sz w:val="24"/>
                <w:szCs w:val="24"/>
              </w:rPr>
            </w:pPr>
            <w:r>
              <w:rPr>
                <w:rFonts w:hint="eastAsia"/>
                <w:sz w:val="24"/>
                <w:szCs w:val="24"/>
              </w:rPr>
              <w:t xml:space="preserve">4.37 </w:t>
            </w:r>
          </w:p>
        </w:tc>
        <w:tc>
          <w:tcPr>
            <w:tcW w:w="880" w:type="pct"/>
            <w:shd w:val="clear" w:color="auto" w:fill="auto"/>
            <w:noWrap/>
            <w:vAlign w:val="center"/>
          </w:tcPr>
          <w:p>
            <w:pPr>
              <w:pStyle w:val="19"/>
              <w:rPr>
                <w:sz w:val="24"/>
                <w:szCs w:val="24"/>
              </w:rPr>
            </w:pPr>
            <w:r>
              <w:rPr>
                <w:rFonts w:hint="eastAsia"/>
                <w:sz w:val="24"/>
                <w:szCs w:val="24"/>
              </w:rPr>
              <w:t xml:space="preserve">5.06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11</w:t>
            </w:r>
          </w:p>
        </w:tc>
        <w:tc>
          <w:tcPr>
            <w:tcW w:w="880" w:type="pct"/>
            <w:shd w:val="clear" w:color="auto" w:fill="auto"/>
            <w:noWrap/>
            <w:vAlign w:val="center"/>
          </w:tcPr>
          <w:p>
            <w:pPr>
              <w:pStyle w:val="19"/>
              <w:rPr>
                <w:sz w:val="24"/>
                <w:szCs w:val="24"/>
              </w:rPr>
            </w:pPr>
            <w:r>
              <w:rPr>
                <w:rFonts w:hint="eastAsia"/>
                <w:sz w:val="24"/>
                <w:szCs w:val="24"/>
              </w:rPr>
              <w:t>东山湖5号闸泵</w:t>
            </w:r>
          </w:p>
        </w:tc>
        <w:tc>
          <w:tcPr>
            <w:tcW w:w="1480" w:type="pct"/>
            <w:shd w:val="clear" w:color="auto" w:fill="auto"/>
            <w:noWrap/>
            <w:vAlign w:val="center"/>
          </w:tcPr>
          <w:p>
            <w:pPr>
              <w:pStyle w:val="19"/>
              <w:rPr>
                <w:sz w:val="24"/>
                <w:szCs w:val="24"/>
              </w:rPr>
            </w:pPr>
            <w:r>
              <w:rPr>
                <w:rFonts w:hint="eastAsia"/>
                <w:sz w:val="24"/>
                <w:szCs w:val="24"/>
              </w:rPr>
              <w:t xml:space="preserve">0.82 </w:t>
            </w:r>
          </w:p>
        </w:tc>
        <w:tc>
          <w:tcPr>
            <w:tcW w:w="1238" w:type="pct"/>
            <w:shd w:val="clear" w:color="auto" w:fill="auto"/>
            <w:noWrap/>
            <w:vAlign w:val="center"/>
          </w:tcPr>
          <w:p>
            <w:pPr>
              <w:pStyle w:val="19"/>
              <w:rPr>
                <w:sz w:val="24"/>
                <w:szCs w:val="24"/>
              </w:rPr>
            </w:pPr>
            <w:r>
              <w:rPr>
                <w:rFonts w:hint="eastAsia"/>
                <w:sz w:val="24"/>
                <w:szCs w:val="24"/>
              </w:rPr>
              <w:t xml:space="preserve">4.59 </w:t>
            </w:r>
          </w:p>
        </w:tc>
        <w:tc>
          <w:tcPr>
            <w:tcW w:w="880" w:type="pct"/>
            <w:shd w:val="clear" w:color="auto" w:fill="auto"/>
            <w:noWrap/>
            <w:vAlign w:val="center"/>
          </w:tcPr>
          <w:p>
            <w:pPr>
              <w:pStyle w:val="19"/>
              <w:rPr>
                <w:sz w:val="24"/>
                <w:szCs w:val="24"/>
              </w:rPr>
            </w:pPr>
            <w:r>
              <w:rPr>
                <w:rFonts w:hint="eastAsia"/>
                <w:sz w:val="24"/>
                <w:szCs w:val="24"/>
              </w:rPr>
              <w:t xml:space="preserve">5.41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12</w:t>
            </w:r>
          </w:p>
        </w:tc>
        <w:tc>
          <w:tcPr>
            <w:tcW w:w="880" w:type="pct"/>
            <w:shd w:val="clear" w:color="auto" w:fill="auto"/>
            <w:noWrap/>
            <w:vAlign w:val="center"/>
          </w:tcPr>
          <w:p>
            <w:pPr>
              <w:pStyle w:val="19"/>
              <w:rPr>
                <w:sz w:val="24"/>
                <w:szCs w:val="24"/>
              </w:rPr>
            </w:pPr>
            <w:r>
              <w:rPr>
                <w:rFonts w:hint="eastAsia"/>
                <w:sz w:val="24"/>
                <w:szCs w:val="24"/>
              </w:rPr>
              <w:t>麓湖水闸</w:t>
            </w:r>
          </w:p>
        </w:tc>
        <w:tc>
          <w:tcPr>
            <w:tcW w:w="1480" w:type="pct"/>
            <w:shd w:val="clear" w:color="auto" w:fill="auto"/>
            <w:noWrap/>
            <w:vAlign w:val="center"/>
          </w:tcPr>
          <w:p>
            <w:pPr>
              <w:pStyle w:val="19"/>
              <w:rPr>
                <w:sz w:val="24"/>
                <w:szCs w:val="24"/>
              </w:rPr>
            </w:pPr>
            <w:r>
              <w:rPr>
                <w:rFonts w:hint="eastAsia"/>
                <w:sz w:val="24"/>
                <w:szCs w:val="24"/>
              </w:rPr>
              <w:t xml:space="preserve">0.72 </w:t>
            </w:r>
          </w:p>
        </w:tc>
        <w:tc>
          <w:tcPr>
            <w:tcW w:w="1238" w:type="pct"/>
            <w:shd w:val="clear" w:color="auto" w:fill="auto"/>
            <w:noWrap/>
            <w:vAlign w:val="center"/>
          </w:tcPr>
          <w:p>
            <w:pPr>
              <w:pStyle w:val="19"/>
              <w:rPr>
                <w:sz w:val="24"/>
                <w:szCs w:val="24"/>
              </w:rPr>
            </w:pPr>
            <w:r>
              <w:rPr>
                <w:rFonts w:hint="eastAsia"/>
                <w:sz w:val="24"/>
                <w:szCs w:val="24"/>
              </w:rPr>
              <w:t xml:space="preserve">4.41 </w:t>
            </w:r>
          </w:p>
        </w:tc>
        <w:tc>
          <w:tcPr>
            <w:tcW w:w="880" w:type="pct"/>
            <w:shd w:val="clear" w:color="auto" w:fill="auto"/>
            <w:noWrap/>
            <w:vAlign w:val="center"/>
          </w:tcPr>
          <w:p>
            <w:pPr>
              <w:pStyle w:val="19"/>
              <w:rPr>
                <w:sz w:val="24"/>
                <w:szCs w:val="24"/>
              </w:rPr>
            </w:pPr>
            <w:r>
              <w:rPr>
                <w:rFonts w:hint="eastAsia"/>
                <w:sz w:val="24"/>
                <w:szCs w:val="24"/>
              </w:rPr>
              <w:t xml:space="preserve">5.13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13</w:t>
            </w:r>
          </w:p>
        </w:tc>
        <w:tc>
          <w:tcPr>
            <w:tcW w:w="880" w:type="pct"/>
            <w:shd w:val="clear" w:color="auto" w:fill="auto"/>
            <w:noWrap/>
            <w:vAlign w:val="center"/>
          </w:tcPr>
          <w:p>
            <w:pPr>
              <w:pStyle w:val="19"/>
              <w:rPr>
                <w:sz w:val="24"/>
                <w:szCs w:val="24"/>
              </w:rPr>
            </w:pPr>
            <w:r>
              <w:rPr>
                <w:rFonts w:hint="eastAsia"/>
                <w:sz w:val="24"/>
                <w:szCs w:val="24"/>
              </w:rPr>
              <w:t>新河浦涌1号闸</w:t>
            </w:r>
          </w:p>
        </w:tc>
        <w:tc>
          <w:tcPr>
            <w:tcW w:w="1480" w:type="pct"/>
            <w:shd w:val="clear" w:color="auto" w:fill="auto"/>
            <w:noWrap/>
            <w:vAlign w:val="center"/>
          </w:tcPr>
          <w:p>
            <w:pPr>
              <w:pStyle w:val="19"/>
              <w:rPr>
                <w:sz w:val="24"/>
                <w:szCs w:val="24"/>
              </w:rPr>
            </w:pPr>
            <w:r>
              <w:rPr>
                <w:rFonts w:hint="eastAsia"/>
                <w:sz w:val="24"/>
                <w:szCs w:val="24"/>
              </w:rPr>
              <w:t xml:space="preserve">0.77 </w:t>
            </w:r>
          </w:p>
        </w:tc>
        <w:tc>
          <w:tcPr>
            <w:tcW w:w="1238" w:type="pct"/>
            <w:shd w:val="clear" w:color="auto" w:fill="auto"/>
            <w:noWrap/>
            <w:vAlign w:val="center"/>
          </w:tcPr>
          <w:p>
            <w:pPr>
              <w:pStyle w:val="19"/>
              <w:rPr>
                <w:sz w:val="24"/>
                <w:szCs w:val="24"/>
              </w:rPr>
            </w:pPr>
            <w:r>
              <w:rPr>
                <w:rFonts w:hint="eastAsia"/>
                <w:sz w:val="24"/>
                <w:szCs w:val="24"/>
              </w:rPr>
              <w:t xml:space="preserve">4.53 </w:t>
            </w:r>
          </w:p>
        </w:tc>
        <w:tc>
          <w:tcPr>
            <w:tcW w:w="880" w:type="pct"/>
            <w:shd w:val="clear" w:color="auto" w:fill="auto"/>
            <w:noWrap/>
            <w:vAlign w:val="center"/>
          </w:tcPr>
          <w:p>
            <w:pPr>
              <w:pStyle w:val="19"/>
              <w:rPr>
                <w:sz w:val="24"/>
                <w:szCs w:val="24"/>
              </w:rPr>
            </w:pPr>
            <w:r>
              <w:rPr>
                <w:rFonts w:hint="eastAsia"/>
                <w:sz w:val="24"/>
                <w:szCs w:val="24"/>
              </w:rPr>
              <w:t xml:space="preserve">5.30 </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22" w:type="pct"/>
            <w:shd w:val="clear" w:color="auto" w:fill="auto"/>
            <w:noWrap/>
            <w:vAlign w:val="center"/>
          </w:tcPr>
          <w:p>
            <w:pPr>
              <w:pStyle w:val="19"/>
              <w:rPr>
                <w:sz w:val="24"/>
                <w:szCs w:val="24"/>
              </w:rPr>
            </w:pPr>
            <w:r>
              <w:rPr>
                <w:rFonts w:hint="eastAsia"/>
                <w:sz w:val="24"/>
                <w:szCs w:val="24"/>
              </w:rPr>
              <w:t>14</w:t>
            </w:r>
          </w:p>
        </w:tc>
        <w:tc>
          <w:tcPr>
            <w:tcW w:w="880" w:type="pct"/>
            <w:shd w:val="clear" w:color="auto" w:fill="auto"/>
            <w:noWrap/>
            <w:vAlign w:val="center"/>
          </w:tcPr>
          <w:p>
            <w:pPr>
              <w:pStyle w:val="19"/>
              <w:rPr>
                <w:sz w:val="24"/>
                <w:szCs w:val="24"/>
              </w:rPr>
            </w:pPr>
            <w:r>
              <w:rPr>
                <w:rFonts w:hint="eastAsia"/>
                <w:sz w:val="24"/>
                <w:szCs w:val="24"/>
              </w:rPr>
              <w:t>新河浦涌2号闸</w:t>
            </w:r>
          </w:p>
        </w:tc>
        <w:tc>
          <w:tcPr>
            <w:tcW w:w="1480" w:type="pct"/>
            <w:shd w:val="clear" w:color="auto" w:fill="auto"/>
            <w:noWrap/>
            <w:vAlign w:val="center"/>
          </w:tcPr>
          <w:p>
            <w:pPr>
              <w:pStyle w:val="19"/>
              <w:rPr>
                <w:sz w:val="24"/>
                <w:szCs w:val="24"/>
              </w:rPr>
            </w:pPr>
            <w:r>
              <w:rPr>
                <w:rFonts w:hint="eastAsia"/>
                <w:sz w:val="24"/>
                <w:szCs w:val="24"/>
              </w:rPr>
              <w:t xml:space="preserve">0.76 </w:t>
            </w:r>
          </w:p>
        </w:tc>
        <w:tc>
          <w:tcPr>
            <w:tcW w:w="1238" w:type="pct"/>
            <w:shd w:val="clear" w:color="auto" w:fill="auto"/>
            <w:noWrap/>
            <w:vAlign w:val="center"/>
          </w:tcPr>
          <w:p>
            <w:pPr>
              <w:pStyle w:val="19"/>
              <w:rPr>
                <w:sz w:val="24"/>
                <w:szCs w:val="24"/>
              </w:rPr>
            </w:pPr>
            <w:r>
              <w:rPr>
                <w:rFonts w:hint="eastAsia"/>
                <w:sz w:val="24"/>
                <w:szCs w:val="24"/>
              </w:rPr>
              <w:t xml:space="preserve">4.49 </w:t>
            </w:r>
          </w:p>
        </w:tc>
        <w:tc>
          <w:tcPr>
            <w:tcW w:w="880" w:type="pct"/>
            <w:shd w:val="clear" w:color="auto" w:fill="auto"/>
            <w:noWrap/>
            <w:vAlign w:val="center"/>
          </w:tcPr>
          <w:p>
            <w:pPr>
              <w:pStyle w:val="19"/>
              <w:rPr>
                <w:sz w:val="24"/>
                <w:szCs w:val="24"/>
              </w:rPr>
            </w:pPr>
            <w:r>
              <w:rPr>
                <w:rFonts w:hint="eastAsia"/>
                <w:sz w:val="24"/>
                <w:szCs w:val="24"/>
              </w:rPr>
              <w:t xml:space="preserve">5.25 </w:t>
            </w:r>
          </w:p>
        </w:tc>
      </w:tr>
    </w:tbl>
    <w:p>
      <w:pPr>
        <w:ind w:firstLine="560"/>
        <w:rPr>
          <w:sz w:val="28"/>
        </w:rPr>
      </w:pPr>
    </w:p>
    <w:p>
      <w:pPr>
        <w:ind w:firstLine="560"/>
        <w:rPr>
          <w:sz w:val="28"/>
        </w:rPr>
        <w:sectPr>
          <w:pgSz w:w="16840" w:h="11907" w:orient="landscape"/>
          <w:pgMar w:top="1797" w:right="1440" w:bottom="1797" w:left="1440" w:header="851" w:footer="992" w:gutter="0"/>
          <w:cols w:space="425" w:num="1"/>
          <w:docGrid w:type="linesAndChars" w:linePitch="326" w:charSpace="0"/>
        </w:sectPr>
      </w:pPr>
    </w:p>
    <w:p>
      <w:pPr>
        <w:widowControl/>
        <w:spacing w:line="240" w:lineRule="auto"/>
        <w:ind w:firstLine="0" w:firstLineChars="0"/>
        <w:jc w:val="left"/>
        <w:outlineLvl w:val="0"/>
        <w:rPr>
          <w:b/>
          <w:sz w:val="44"/>
          <w:szCs w:val="44"/>
        </w:rPr>
      </w:pPr>
      <w:bookmarkStart w:id="15" w:name="_Toc57638893"/>
      <w:r>
        <w:rPr>
          <w:rFonts w:hint="eastAsia"/>
          <w:b/>
          <w:sz w:val="44"/>
          <w:szCs w:val="44"/>
        </w:rPr>
        <w:t>五</w:t>
      </w:r>
      <w:r>
        <w:rPr>
          <w:b/>
          <w:sz w:val="44"/>
          <w:szCs w:val="44"/>
        </w:rPr>
        <w:t>、</w:t>
      </w:r>
      <w:r>
        <w:rPr>
          <w:rFonts w:hint="eastAsia"/>
          <w:b/>
          <w:sz w:val="44"/>
          <w:szCs w:val="44"/>
        </w:rPr>
        <w:t>管理及</w:t>
      </w:r>
      <w:r>
        <w:rPr>
          <w:b/>
          <w:sz w:val="44"/>
          <w:szCs w:val="44"/>
        </w:rPr>
        <w:t>保护</w:t>
      </w:r>
      <w:r>
        <w:rPr>
          <w:rFonts w:hint="eastAsia"/>
          <w:b/>
          <w:sz w:val="44"/>
          <w:szCs w:val="44"/>
        </w:rPr>
        <w:t>范围相关</w:t>
      </w:r>
      <w:r>
        <w:rPr>
          <w:b/>
          <w:sz w:val="44"/>
          <w:szCs w:val="44"/>
        </w:rPr>
        <w:t>规定</w:t>
      </w:r>
      <w:r>
        <w:rPr>
          <w:rFonts w:hint="eastAsia"/>
          <w:b/>
          <w:sz w:val="44"/>
          <w:szCs w:val="44"/>
        </w:rPr>
        <w:t>、</w:t>
      </w:r>
      <w:r>
        <w:rPr>
          <w:b/>
          <w:sz w:val="44"/>
          <w:szCs w:val="44"/>
        </w:rPr>
        <w:t>法律责任</w:t>
      </w:r>
      <w:bookmarkEnd w:id="15"/>
    </w:p>
    <w:p>
      <w:pPr>
        <w:ind w:firstLine="560"/>
        <w:rPr>
          <w:sz w:val="28"/>
        </w:rPr>
      </w:pPr>
      <w:r>
        <w:rPr>
          <w:rFonts w:hint="eastAsia"/>
          <w:sz w:val="28"/>
        </w:rPr>
        <w:t>堤防</w:t>
      </w:r>
      <w:r>
        <w:rPr>
          <w:sz w:val="28"/>
        </w:rPr>
        <w:t>及水利工程管理</w:t>
      </w:r>
      <w:r>
        <w:rPr>
          <w:rFonts w:hint="eastAsia"/>
          <w:sz w:val="28"/>
        </w:rPr>
        <w:t>及</w:t>
      </w:r>
      <w:r>
        <w:rPr>
          <w:sz w:val="28"/>
        </w:rPr>
        <w:t>保护范围划定</w:t>
      </w:r>
      <w:r>
        <w:rPr>
          <w:rFonts w:hint="eastAsia"/>
          <w:sz w:val="28"/>
        </w:rPr>
        <w:t>并</w:t>
      </w:r>
      <w:r>
        <w:rPr>
          <w:sz w:val="28"/>
        </w:rPr>
        <w:t>通过区政府批准后，将作为工程建设和管理运用的依据</w:t>
      </w:r>
      <w:r>
        <w:rPr>
          <w:rFonts w:hint="eastAsia"/>
          <w:sz w:val="28"/>
        </w:rPr>
        <w:t>，</w:t>
      </w:r>
      <w:r>
        <w:rPr>
          <w:sz w:val="28"/>
        </w:rPr>
        <w:t>是</w:t>
      </w:r>
      <w:r>
        <w:rPr>
          <w:rFonts w:hint="eastAsia"/>
          <w:sz w:val="28"/>
        </w:rPr>
        <w:t>水行政主管部门有效管理水工程，依法行政的前提，该通告</w:t>
      </w:r>
      <w:r>
        <w:rPr>
          <w:sz w:val="28"/>
        </w:rPr>
        <w:t>内容</w:t>
      </w:r>
      <w:r>
        <w:rPr>
          <w:rFonts w:hint="eastAsia"/>
          <w:sz w:val="28"/>
        </w:rPr>
        <w:t>禁止</w:t>
      </w:r>
      <w:r>
        <w:rPr>
          <w:sz w:val="28"/>
        </w:rPr>
        <w:t>进行违法建设，属于行业管理，不改变</w:t>
      </w:r>
      <w:r>
        <w:rPr>
          <w:rFonts w:hint="eastAsia"/>
          <w:sz w:val="28"/>
        </w:rPr>
        <w:t>现有</w:t>
      </w:r>
      <w:r>
        <w:rPr>
          <w:sz w:val="28"/>
        </w:rPr>
        <w:t>土地的权属，也不作为土地权属的证明材料。</w:t>
      </w:r>
      <w:r>
        <w:rPr>
          <w:rFonts w:hint="eastAsia"/>
          <w:sz w:val="28"/>
        </w:rPr>
        <w:t>参照《广东省水利工程管理条例》（201</w:t>
      </w:r>
      <w:r>
        <w:rPr>
          <w:sz w:val="28"/>
        </w:rPr>
        <w:t>9</w:t>
      </w:r>
      <w:r>
        <w:rPr>
          <w:rFonts w:hint="eastAsia"/>
          <w:sz w:val="28"/>
        </w:rPr>
        <w:t>年</w:t>
      </w:r>
      <w:r>
        <w:rPr>
          <w:sz w:val="28"/>
        </w:rPr>
        <w:t>修正版</w:t>
      </w:r>
      <w:r>
        <w:rPr>
          <w:rFonts w:hint="eastAsia"/>
          <w:sz w:val="28"/>
        </w:rPr>
        <w:t>）、《广州市水务管理条例》（2012年）、《堤防工程</w:t>
      </w:r>
      <w:r>
        <w:rPr>
          <w:sz w:val="28"/>
        </w:rPr>
        <w:t>管理设计规范》（</w:t>
      </w:r>
      <w:r>
        <w:rPr>
          <w:rFonts w:hint="eastAsia"/>
          <w:sz w:val="28"/>
        </w:rPr>
        <w:t>SL171-96</w:t>
      </w:r>
      <w:r>
        <w:rPr>
          <w:sz w:val="28"/>
        </w:rPr>
        <w:t>）</w:t>
      </w:r>
      <w:r>
        <w:rPr>
          <w:rFonts w:hint="eastAsia"/>
          <w:sz w:val="28"/>
        </w:rPr>
        <w:t>等条例</w:t>
      </w:r>
      <w:r>
        <w:rPr>
          <w:sz w:val="28"/>
        </w:rPr>
        <w:t>规范的规定</w:t>
      </w:r>
      <w:r>
        <w:rPr>
          <w:rFonts w:hint="eastAsia"/>
          <w:sz w:val="28"/>
        </w:rPr>
        <w:t>，</w:t>
      </w:r>
      <w:r>
        <w:rPr>
          <w:rFonts w:hint="eastAsia"/>
          <w:b/>
          <w:sz w:val="28"/>
        </w:rPr>
        <w:t>水利工程管理范围</w:t>
      </w:r>
      <w:r>
        <w:rPr>
          <w:b/>
          <w:sz w:val="28"/>
        </w:rPr>
        <w:t>及保护</w:t>
      </w:r>
      <w:r>
        <w:rPr>
          <w:rFonts w:hint="eastAsia"/>
          <w:b/>
          <w:sz w:val="28"/>
        </w:rPr>
        <w:t>范围</w:t>
      </w:r>
      <w:r>
        <w:rPr>
          <w:b/>
          <w:sz w:val="28"/>
        </w:rPr>
        <w:t>规定如下：</w:t>
      </w:r>
    </w:p>
    <w:p>
      <w:pPr>
        <w:ind w:firstLine="560"/>
        <w:rPr>
          <w:sz w:val="28"/>
        </w:rPr>
      </w:pPr>
      <w:r>
        <w:rPr>
          <w:rFonts w:hint="eastAsia"/>
          <w:sz w:val="28"/>
        </w:rPr>
        <w:t>1、越秀区水行政主管部门负责区内水利工程的统一组织管理工作。建设、交通、电力等部门，依照各自职责，管理有关的水利工程。自然资源、地震、公安等有关部门，协同做好水利工程管理工作。</w:t>
      </w:r>
    </w:p>
    <w:p>
      <w:pPr>
        <w:ind w:firstLine="560"/>
        <w:rPr>
          <w:sz w:val="28"/>
        </w:rPr>
      </w:pPr>
      <w:r>
        <w:rPr>
          <w:rFonts w:hint="eastAsia"/>
          <w:sz w:val="28"/>
        </w:rPr>
        <w:t>2、区政府</w:t>
      </w:r>
      <w:r>
        <w:rPr>
          <w:sz w:val="28"/>
        </w:rPr>
        <w:t>对</w:t>
      </w:r>
      <w:r>
        <w:rPr>
          <w:rFonts w:hint="eastAsia"/>
          <w:sz w:val="28"/>
        </w:rPr>
        <w:t>已征用或已划拨的水利工程管理范围内的土地，应当依法办理征用</w:t>
      </w:r>
      <w:r>
        <w:rPr>
          <w:sz w:val="28"/>
        </w:rPr>
        <w:t>或</w:t>
      </w:r>
      <w:r>
        <w:rPr>
          <w:rFonts w:hint="eastAsia"/>
          <w:sz w:val="28"/>
        </w:rPr>
        <w:t>划拨</w:t>
      </w:r>
      <w:r>
        <w:rPr>
          <w:sz w:val="28"/>
        </w:rPr>
        <w:t>确保</w:t>
      </w:r>
      <w:r>
        <w:rPr>
          <w:rFonts w:hint="eastAsia"/>
          <w:sz w:val="28"/>
        </w:rPr>
        <w:t>发证手续。任何单位和个人不得侵占水利工程管理范围内的土地和水域。国家建设需要征用管理范围内的土地，应当征得有管辖权的水行政主管部门同意。</w:t>
      </w:r>
    </w:p>
    <w:p>
      <w:pPr>
        <w:ind w:firstLine="560"/>
        <w:rPr>
          <w:sz w:val="28"/>
        </w:rPr>
      </w:pPr>
      <w:r>
        <w:rPr>
          <w:sz w:val="28"/>
        </w:rPr>
        <w:t>3</w:t>
      </w:r>
      <w:r>
        <w:rPr>
          <w:rFonts w:hint="eastAsia"/>
          <w:sz w:val="28"/>
        </w:rPr>
        <w:t>、水利工程保护范围内的土地，其权属不变，但必须按《广东省水利工程管理条例》（2019年修正版）的规定限制使用。</w:t>
      </w:r>
    </w:p>
    <w:p>
      <w:pPr>
        <w:ind w:firstLine="560"/>
        <w:rPr>
          <w:sz w:val="28"/>
        </w:rPr>
      </w:pPr>
      <w:r>
        <w:rPr>
          <w:sz w:val="28"/>
        </w:rPr>
        <w:t>4</w:t>
      </w:r>
      <w:r>
        <w:rPr>
          <w:rFonts w:hint="eastAsia"/>
          <w:sz w:val="28"/>
        </w:rPr>
        <w:t>、在水利工程管理范围和保护范围内新建、扩建和改建的各类建设项目，在建设项目开工前，其工程建设方案应当经水行政主管部门审查同意。在通航水域的，应当征得交通行政主管部门同意。需要占用土地的，在水行政主管部门对该工程设施的位置和界限审查批准后，建设单位方可依法办理开工手续；工程施工应当接受水行政主管部门的检查监督，竣工验收应当有水行政主管部门参加。兴建在堤防工程上为其他国民经济部门服务的工程和设施，仍需按照统一标准，划定工程管理范围和保护范围。所需占用的土地，必须征得堤防管理部门的统一，并签订有偿利用协议。同时在工程维护管理和抗洪抢险任务上，必须接受防汛指挥中心河堤防管理部门的统一指挥调度，承担相应的责任和义务。</w:t>
      </w:r>
    </w:p>
    <w:p>
      <w:pPr>
        <w:ind w:firstLine="560"/>
        <w:rPr>
          <w:sz w:val="28"/>
        </w:rPr>
      </w:pPr>
      <w:r>
        <w:rPr>
          <w:sz w:val="28"/>
        </w:rPr>
        <w:t>5</w:t>
      </w:r>
      <w:r>
        <w:rPr>
          <w:rFonts w:hint="eastAsia"/>
          <w:sz w:val="28"/>
        </w:rPr>
        <w:t>、在水利工程管理范围内禁止下列行为：</w:t>
      </w:r>
    </w:p>
    <w:p>
      <w:pPr>
        <w:ind w:firstLine="560"/>
        <w:rPr>
          <w:sz w:val="28"/>
        </w:rPr>
      </w:pPr>
      <w:r>
        <w:rPr>
          <w:rFonts w:hint="eastAsia"/>
          <w:sz w:val="28"/>
        </w:rPr>
        <w:t>（一）兴建影响水利工程安全与正常运行的建筑物和其他设施；</w:t>
      </w:r>
    </w:p>
    <w:p>
      <w:pPr>
        <w:ind w:firstLine="560"/>
        <w:rPr>
          <w:sz w:val="28"/>
        </w:rPr>
      </w:pPr>
      <w:r>
        <w:rPr>
          <w:rFonts w:hint="eastAsia"/>
          <w:sz w:val="28"/>
        </w:rPr>
        <w:t>（二）围库造地；</w:t>
      </w:r>
    </w:p>
    <w:p>
      <w:pPr>
        <w:ind w:firstLine="560"/>
        <w:rPr>
          <w:sz w:val="28"/>
        </w:rPr>
      </w:pPr>
      <w:r>
        <w:rPr>
          <w:rFonts w:hint="eastAsia"/>
          <w:sz w:val="28"/>
        </w:rPr>
        <w:t>（三）爆破、打井、采石、取土、挖矿、葬坟以及在输水渠道或管道上决口、阻水、挖洞等危害水利工程安</w:t>
      </w:r>
    </w:p>
    <w:p>
      <w:pPr>
        <w:ind w:firstLine="560"/>
        <w:rPr>
          <w:sz w:val="28"/>
        </w:rPr>
      </w:pPr>
      <w:r>
        <w:rPr>
          <w:rFonts w:hint="eastAsia"/>
          <w:sz w:val="28"/>
        </w:rPr>
        <w:t>全的活动；</w:t>
      </w:r>
    </w:p>
    <w:p>
      <w:pPr>
        <w:ind w:firstLine="560"/>
        <w:rPr>
          <w:sz w:val="28"/>
        </w:rPr>
      </w:pPr>
      <w:r>
        <w:rPr>
          <w:rFonts w:hint="eastAsia"/>
          <w:sz w:val="28"/>
        </w:rPr>
        <w:t>（四）倾倒土、石、矿渣、垃圾等废弃物；</w:t>
      </w:r>
    </w:p>
    <w:p>
      <w:pPr>
        <w:ind w:firstLine="560"/>
        <w:rPr>
          <w:sz w:val="28"/>
        </w:rPr>
      </w:pPr>
      <w:r>
        <w:rPr>
          <w:rFonts w:hint="eastAsia"/>
          <w:sz w:val="28"/>
        </w:rPr>
        <w:t>（五）在河涌湖泊</w:t>
      </w:r>
      <w:r>
        <w:rPr>
          <w:sz w:val="28"/>
        </w:rPr>
        <w:t>等</w:t>
      </w:r>
      <w:r>
        <w:rPr>
          <w:rFonts w:hint="eastAsia"/>
          <w:sz w:val="28"/>
        </w:rPr>
        <w:t>水域内炸鱼、毒鱼、电鱼和排放污染物；</w:t>
      </w:r>
    </w:p>
    <w:p>
      <w:pPr>
        <w:ind w:firstLine="560"/>
        <w:rPr>
          <w:sz w:val="28"/>
        </w:rPr>
      </w:pPr>
      <w:r>
        <w:rPr>
          <w:rFonts w:hint="eastAsia"/>
          <w:sz w:val="28"/>
        </w:rPr>
        <w:t>（六）损毁、破坏水利工程设施及其附属设施和设备；</w:t>
      </w:r>
    </w:p>
    <w:p>
      <w:pPr>
        <w:ind w:firstLine="560"/>
        <w:rPr>
          <w:sz w:val="28"/>
        </w:rPr>
      </w:pPr>
      <w:r>
        <w:rPr>
          <w:rFonts w:hint="eastAsia"/>
          <w:sz w:val="28"/>
        </w:rPr>
        <w:t>（七）在坝顶、堤顶、闸坝交通桥行驶履带拖拉机、硬轮车及超重车辆，在没有路面的坝顶、堤顶雨后行驶</w:t>
      </w:r>
    </w:p>
    <w:p>
      <w:pPr>
        <w:ind w:firstLine="560"/>
        <w:rPr>
          <w:sz w:val="28"/>
        </w:rPr>
      </w:pPr>
      <w:r>
        <w:rPr>
          <w:rFonts w:hint="eastAsia"/>
          <w:sz w:val="28"/>
        </w:rPr>
        <w:t>机动车辆；</w:t>
      </w:r>
    </w:p>
    <w:p>
      <w:pPr>
        <w:ind w:firstLine="560"/>
        <w:rPr>
          <w:sz w:val="28"/>
        </w:rPr>
      </w:pPr>
      <w:r>
        <w:rPr>
          <w:rFonts w:hint="eastAsia"/>
          <w:sz w:val="28"/>
        </w:rPr>
        <w:t>（八）在堤坝、渠道上垦植、铲草、破坏或砍伐防护林；</w:t>
      </w:r>
    </w:p>
    <w:p>
      <w:pPr>
        <w:ind w:firstLine="560"/>
        <w:rPr>
          <w:sz w:val="28"/>
        </w:rPr>
      </w:pPr>
      <w:r>
        <w:rPr>
          <w:rFonts w:hint="eastAsia"/>
          <w:sz w:val="28"/>
        </w:rPr>
        <w:t>（九）其他有碍水利工程安全运行的行为。</w:t>
      </w:r>
    </w:p>
    <w:p>
      <w:pPr>
        <w:ind w:firstLine="560"/>
        <w:rPr>
          <w:sz w:val="28"/>
        </w:rPr>
      </w:pPr>
      <w:r>
        <w:rPr>
          <w:sz w:val="28"/>
        </w:rPr>
        <w:t>6</w:t>
      </w:r>
      <w:r>
        <w:rPr>
          <w:rFonts w:hint="eastAsia"/>
          <w:sz w:val="28"/>
        </w:rPr>
        <w:t>、在水利工程保护范围内，不得从事危及水利工程安全及污染水质的爆破、打井、采石、取土、陡坡开荒、伐木、开矿、堆放或排放污染物等活动。</w:t>
      </w:r>
    </w:p>
    <w:p>
      <w:pPr>
        <w:ind w:firstLine="560"/>
        <w:rPr>
          <w:sz w:val="28"/>
        </w:rPr>
      </w:pPr>
      <w:r>
        <w:rPr>
          <w:sz w:val="28"/>
        </w:rPr>
        <w:t>7</w:t>
      </w:r>
      <w:r>
        <w:rPr>
          <w:rFonts w:hint="eastAsia"/>
          <w:sz w:val="28"/>
        </w:rPr>
        <w:t>、因建设需要迁移水利设施或造成水利设施损坏的，建设单位应当采取补救措施或按重置价赔偿；影响水利工程运行管理的，应当承担相应的管理维修费用。</w:t>
      </w:r>
    </w:p>
    <w:p>
      <w:pPr>
        <w:ind w:firstLine="560"/>
        <w:rPr>
          <w:sz w:val="28"/>
        </w:rPr>
      </w:pPr>
      <w:r>
        <w:rPr>
          <w:sz w:val="28"/>
        </w:rPr>
        <w:t>8</w:t>
      </w:r>
      <w:r>
        <w:rPr>
          <w:rFonts w:hint="eastAsia"/>
          <w:sz w:val="28"/>
        </w:rPr>
        <w:t>、在水利工程管理范围内从事生产经营活动的，必须经区政府水行政主管部门同意，并与水利工程管理单位签订协议。</w:t>
      </w:r>
    </w:p>
    <w:p>
      <w:pPr>
        <w:ind w:firstLine="562"/>
        <w:rPr>
          <w:b/>
          <w:sz w:val="28"/>
        </w:rPr>
      </w:pPr>
      <w:r>
        <w:rPr>
          <w:rFonts w:hint="eastAsia"/>
          <w:b/>
          <w:sz w:val="28"/>
        </w:rPr>
        <w:t>相关法律责任</w:t>
      </w:r>
      <w:r>
        <w:rPr>
          <w:b/>
          <w:sz w:val="28"/>
        </w:rPr>
        <w:t>如下</w:t>
      </w:r>
      <w:r>
        <w:rPr>
          <w:rFonts w:hint="eastAsia"/>
          <w:b/>
          <w:sz w:val="28"/>
        </w:rPr>
        <w:t>：</w:t>
      </w:r>
    </w:p>
    <w:p>
      <w:pPr>
        <w:ind w:firstLine="560"/>
        <w:rPr>
          <w:sz w:val="28"/>
        </w:rPr>
      </w:pPr>
      <w:r>
        <w:rPr>
          <w:rFonts w:hint="eastAsia"/>
          <w:sz w:val="28"/>
        </w:rPr>
        <w:t>1、移动和破坏水利工程管理单位埋设的永久界桩的，责令其停止违法行为，恢复原状或者赔偿损失。</w:t>
      </w:r>
    </w:p>
    <w:p>
      <w:pPr>
        <w:ind w:firstLine="560"/>
        <w:rPr>
          <w:sz w:val="28"/>
        </w:rPr>
      </w:pPr>
      <w:r>
        <w:rPr>
          <w:sz w:val="28"/>
        </w:rPr>
        <w:t>2</w:t>
      </w:r>
      <w:r>
        <w:rPr>
          <w:rFonts w:hint="eastAsia"/>
          <w:sz w:val="28"/>
        </w:rPr>
        <w:t>、未经水行政主管部门批准或者同意，擅自在水利工程管理范围和保护范围内修建工程设施、从事生产经营活动或者兴建可能污染水库水体的生产经营设施的，责令其停止违法行为，限期拆除违法建筑物或者工程设施，可处一万元以上十万元以下的罚款。</w:t>
      </w:r>
    </w:p>
    <w:p>
      <w:pPr>
        <w:ind w:firstLine="560"/>
        <w:rPr>
          <w:sz w:val="28"/>
        </w:rPr>
      </w:pPr>
      <w:r>
        <w:rPr>
          <w:rFonts w:hint="eastAsia"/>
          <w:sz w:val="28"/>
        </w:rPr>
        <w:t>3、违反规定第6条</w:t>
      </w:r>
      <w:r>
        <w:rPr>
          <w:sz w:val="28"/>
        </w:rPr>
        <w:t>第（</w:t>
      </w:r>
      <w:r>
        <w:rPr>
          <w:rFonts w:hint="eastAsia"/>
          <w:sz w:val="28"/>
        </w:rPr>
        <w:t>三</w:t>
      </w:r>
      <w:r>
        <w:rPr>
          <w:sz w:val="28"/>
        </w:rPr>
        <w:t>）</w:t>
      </w:r>
      <w:r>
        <w:rPr>
          <w:rFonts w:hint="eastAsia"/>
          <w:sz w:val="28"/>
        </w:rPr>
        <w:t>至</w:t>
      </w:r>
      <w:r>
        <w:rPr>
          <w:sz w:val="28"/>
        </w:rPr>
        <w:t>（</w:t>
      </w:r>
      <w:r>
        <w:rPr>
          <w:rFonts w:hint="eastAsia"/>
          <w:sz w:val="28"/>
        </w:rPr>
        <w:t>九</w:t>
      </w:r>
      <w:r>
        <w:rPr>
          <w:sz w:val="28"/>
        </w:rPr>
        <w:t>）</w:t>
      </w:r>
      <w:r>
        <w:rPr>
          <w:rFonts w:hint="eastAsia"/>
          <w:sz w:val="28"/>
        </w:rPr>
        <w:t>项</w:t>
      </w:r>
      <w:r>
        <w:rPr>
          <w:sz w:val="28"/>
        </w:rPr>
        <w:t>，第</w:t>
      </w:r>
      <w:r>
        <w:rPr>
          <w:rFonts w:hint="eastAsia"/>
          <w:sz w:val="28"/>
        </w:rPr>
        <w:t>7条规定</w:t>
      </w:r>
      <w:r>
        <w:rPr>
          <w:sz w:val="28"/>
        </w:rPr>
        <w:t>的，</w:t>
      </w:r>
      <w:r>
        <w:rPr>
          <w:rFonts w:hint="eastAsia"/>
          <w:sz w:val="28"/>
        </w:rPr>
        <w:t>责令其停止违法行为，赔偿损失，采取补救措施，对造成严重危害后果的，可处五万元以下的罚款。涉及其他法律、法规规定的，由有关行政主管部门依法处罚。</w:t>
      </w:r>
    </w:p>
    <w:p>
      <w:pPr>
        <w:ind w:firstLine="560"/>
        <w:rPr>
          <w:sz w:val="28"/>
        </w:rPr>
      </w:pPr>
      <w:r>
        <w:rPr>
          <w:rFonts w:hint="eastAsia"/>
          <w:sz w:val="28"/>
        </w:rPr>
        <w:t>4、违法上述规定产生</w:t>
      </w:r>
      <w:r>
        <w:rPr>
          <w:sz w:val="28"/>
        </w:rPr>
        <w:t>的</w:t>
      </w:r>
      <w:r>
        <w:rPr>
          <w:rFonts w:hint="eastAsia"/>
          <w:sz w:val="28"/>
        </w:rPr>
        <w:t>行政处罚</w:t>
      </w:r>
      <w:r>
        <w:rPr>
          <w:sz w:val="28"/>
        </w:rPr>
        <w:t>除</w:t>
      </w:r>
      <w:r>
        <w:rPr>
          <w:rFonts w:hint="eastAsia"/>
          <w:sz w:val="28"/>
        </w:rPr>
        <w:t>特别规定外，由区水行政主管部门实施；构成违反治安管理行为的，由公安机关依照《中华人民共和国治安管理处罚法》给予处罚；构成犯罪的，依法追究刑事责任。</w:t>
      </w:r>
    </w:p>
    <w:p>
      <w:pPr>
        <w:widowControl/>
        <w:spacing w:line="240" w:lineRule="auto"/>
        <w:ind w:firstLine="0" w:firstLineChars="0"/>
        <w:jc w:val="left"/>
        <w:rPr>
          <w:sz w:val="28"/>
        </w:rPr>
      </w:pPr>
      <w:r>
        <w:rPr>
          <w:sz w:val="28"/>
        </w:rPr>
        <w:br w:type="page"/>
      </w:r>
    </w:p>
    <w:p>
      <w:pPr>
        <w:widowControl/>
        <w:spacing w:line="240" w:lineRule="auto"/>
        <w:ind w:firstLine="0" w:firstLineChars="0"/>
        <w:jc w:val="left"/>
        <w:outlineLvl w:val="0"/>
        <w:rPr>
          <w:b/>
          <w:sz w:val="44"/>
          <w:szCs w:val="44"/>
        </w:rPr>
      </w:pPr>
      <w:bookmarkStart w:id="16" w:name="_Toc57638894"/>
      <w:r>
        <w:rPr>
          <w:rFonts w:hint="eastAsia"/>
          <w:b/>
          <w:sz w:val="44"/>
          <w:szCs w:val="44"/>
        </w:rPr>
        <w:t>附图</w:t>
      </w:r>
      <w:bookmarkEnd w:id="16"/>
      <w:bookmarkStart w:id="17" w:name="_GoBack"/>
      <w:bookmarkEnd w:id="17"/>
    </w:p>
    <w:p>
      <w:pPr>
        <w:ind w:firstLine="960"/>
        <w:jc w:val="center"/>
        <w:rPr>
          <w:sz w:val="48"/>
        </w:rPr>
      </w:pPr>
    </w:p>
    <w:sectPr>
      <w:pgSz w:w="16840" w:h="11907" w:orient="landscape"/>
      <w:pgMar w:top="1797" w:right="1440" w:bottom="1797" w:left="1440" w:header="851" w:footer="992" w:gutter="0"/>
      <w:cols w:space="425" w:num="1"/>
      <w:docGrid w:type="linesAndChar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2FF" w:usb1="40000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140792363"/>
      <w:docPartObj>
        <w:docPartGallery w:val="autotext"/>
      </w:docPartObj>
    </w:sdtPr>
    <w:sdtContent>
      <w:p>
        <w:pPr>
          <w:pStyle w:val="8"/>
          <w:ind w:firstLine="360"/>
          <w:jc w:val="center"/>
        </w:pPr>
        <w:r>
          <w:fldChar w:fldCharType="begin"/>
        </w:r>
        <w:r>
          <w:instrText xml:space="preserve">PAGE   \* MERGEFORMAT</w:instrText>
        </w:r>
        <w:r>
          <w:fldChar w:fldCharType="separate"/>
        </w:r>
        <w:r>
          <w:rPr>
            <w:lang w:val="zh-CN"/>
          </w:rPr>
          <w:t>3</w:t>
        </w:r>
        <w:r>
          <w:fldChar w:fldCharType="end"/>
        </w:r>
      </w:p>
    </w:sdtContent>
  </w:sdt>
  <w:p>
    <w:pPr>
      <w:pStyle w:val="8"/>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747726854"/>
      <w:docPartObj>
        <w:docPartGallery w:val="autotext"/>
      </w:docPartObj>
    </w:sdtPr>
    <w:sdtContent>
      <w:p>
        <w:pPr>
          <w:pStyle w:val="8"/>
          <w:ind w:firstLine="360"/>
          <w:jc w:val="center"/>
        </w:pPr>
        <w:r>
          <w:fldChar w:fldCharType="begin"/>
        </w:r>
        <w:r>
          <w:instrText xml:space="preserve">PAGE   \* MERGEFORMAT</w:instrText>
        </w:r>
        <w:r>
          <w:fldChar w:fldCharType="separate"/>
        </w:r>
        <w:r>
          <w:rPr>
            <w:lang w:val="zh-CN"/>
          </w:rPr>
          <w:t>6</w:t>
        </w:r>
        <w:r>
          <w:fldChar w:fldCharType="end"/>
        </w:r>
      </w:p>
    </w:sdtContent>
  </w:sdt>
  <w:p>
    <w:pPr>
      <w:pStyle w:val="8"/>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3025882"/>
      <w:docPartObj>
        <w:docPartGallery w:val="autotext"/>
      </w:docPartObj>
    </w:sdtPr>
    <w:sdtContent>
      <w:p>
        <w:pPr>
          <w:pStyle w:val="8"/>
          <w:ind w:firstLine="360"/>
          <w:jc w:val="center"/>
        </w:pPr>
        <w:r>
          <w:fldChar w:fldCharType="begin"/>
        </w:r>
        <w:r>
          <w:instrText xml:space="preserve">PAGE   \* MERGEFORMAT</w:instrText>
        </w:r>
        <w:r>
          <w:fldChar w:fldCharType="separate"/>
        </w:r>
        <w:r>
          <w:rPr>
            <w:lang w:val="zh-CN"/>
          </w:rPr>
          <w:t>9</w:t>
        </w:r>
        <w:r>
          <w:fldChar w:fldCharType="end"/>
        </w:r>
      </w:p>
    </w:sdtContent>
  </w:sdt>
  <w:p>
    <w:pPr>
      <w:pStyle w:val="8"/>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5E5573"/>
    <w:multiLevelType w:val="multilevel"/>
    <w:tmpl w:val="195E5573"/>
    <w:lvl w:ilvl="0" w:tentative="0">
      <w:start w:val="1"/>
      <w:numFmt w:val="bullet"/>
      <w:lvlText w:val=""/>
      <w:lvlJc w:val="left"/>
      <w:pPr>
        <w:ind w:left="982" w:hanging="420"/>
      </w:pPr>
      <w:rPr>
        <w:rFonts w:hint="default" w:ascii="Wingdings" w:hAnsi="Wingdings"/>
      </w:rPr>
    </w:lvl>
    <w:lvl w:ilvl="1" w:tentative="0">
      <w:start w:val="1"/>
      <w:numFmt w:val="bullet"/>
      <w:lvlText w:val=""/>
      <w:lvlJc w:val="left"/>
      <w:pPr>
        <w:ind w:left="1402" w:hanging="420"/>
      </w:pPr>
      <w:rPr>
        <w:rFonts w:hint="default" w:ascii="Wingdings" w:hAnsi="Wingdings"/>
      </w:rPr>
    </w:lvl>
    <w:lvl w:ilvl="2" w:tentative="0">
      <w:start w:val="1"/>
      <w:numFmt w:val="bullet"/>
      <w:lvlText w:val=""/>
      <w:lvlJc w:val="left"/>
      <w:pPr>
        <w:ind w:left="1822" w:hanging="420"/>
      </w:pPr>
      <w:rPr>
        <w:rFonts w:hint="default" w:ascii="Wingdings" w:hAnsi="Wingdings"/>
      </w:rPr>
    </w:lvl>
    <w:lvl w:ilvl="3" w:tentative="0">
      <w:start w:val="1"/>
      <w:numFmt w:val="bullet"/>
      <w:lvlText w:val=""/>
      <w:lvlJc w:val="left"/>
      <w:pPr>
        <w:ind w:left="2242" w:hanging="420"/>
      </w:pPr>
      <w:rPr>
        <w:rFonts w:hint="default" w:ascii="Wingdings" w:hAnsi="Wingdings"/>
      </w:rPr>
    </w:lvl>
    <w:lvl w:ilvl="4" w:tentative="0">
      <w:start w:val="1"/>
      <w:numFmt w:val="bullet"/>
      <w:lvlText w:val=""/>
      <w:lvlJc w:val="left"/>
      <w:pPr>
        <w:ind w:left="2662" w:hanging="420"/>
      </w:pPr>
      <w:rPr>
        <w:rFonts w:hint="default" w:ascii="Wingdings" w:hAnsi="Wingdings"/>
      </w:rPr>
    </w:lvl>
    <w:lvl w:ilvl="5" w:tentative="0">
      <w:start w:val="1"/>
      <w:numFmt w:val="bullet"/>
      <w:lvlText w:val=""/>
      <w:lvlJc w:val="left"/>
      <w:pPr>
        <w:ind w:left="3082" w:hanging="420"/>
      </w:pPr>
      <w:rPr>
        <w:rFonts w:hint="default" w:ascii="Wingdings" w:hAnsi="Wingdings"/>
      </w:rPr>
    </w:lvl>
    <w:lvl w:ilvl="6" w:tentative="0">
      <w:start w:val="1"/>
      <w:numFmt w:val="bullet"/>
      <w:lvlText w:val=""/>
      <w:lvlJc w:val="left"/>
      <w:pPr>
        <w:ind w:left="3502" w:hanging="420"/>
      </w:pPr>
      <w:rPr>
        <w:rFonts w:hint="default" w:ascii="Wingdings" w:hAnsi="Wingdings"/>
      </w:rPr>
    </w:lvl>
    <w:lvl w:ilvl="7" w:tentative="0">
      <w:start w:val="1"/>
      <w:numFmt w:val="bullet"/>
      <w:lvlText w:val=""/>
      <w:lvlJc w:val="left"/>
      <w:pPr>
        <w:ind w:left="3922" w:hanging="420"/>
      </w:pPr>
      <w:rPr>
        <w:rFonts w:hint="default" w:ascii="Wingdings" w:hAnsi="Wingdings"/>
      </w:rPr>
    </w:lvl>
    <w:lvl w:ilvl="8" w:tentative="0">
      <w:start w:val="1"/>
      <w:numFmt w:val="bullet"/>
      <w:lvlText w:val=""/>
      <w:lvlJc w:val="left"/>
      <w:pPr>
        <w:ind w:left="4342" w:hanging="420"/>
      </w:pPr>
      <w:rPr>
        <w:rFonts w:hint="default" w:ascii="Wingdings" w:hAnsi="Wingdings"/>
      </w:rPr>
    </w:lvl>
  </w:abstractNum>
  <w:abstractNum w:abstractNumId="1">
    <w:nsid w:val="395C4809"/>
    <w:multiLevelType w:val="multilevel"/>
    <w:tmpl w:val="395C4809"/>
    <w:lvl w:ilvl="0" w:tentative="0">
      <w:start w:val="1"/>
      <w:numFmt w:val="decimal"/>
      <w:pStyle w:val="29"/>
      <w:lvlText w:val="第%1章"/>
      <w:lvlJc w:val="left"/>
      <w:pPr>
        <w:ind w:left="420" w:hanging="420"/>
      </w:pPr>
      <w:rPr>
        <w:rFonts w:hint="eastAsia"/>
        <w:b w:val="0"/>
        <w:bCs w:val="0"/>
        <w:i w:val="0"/>
        <w:iCs w:val="0"/>
        <w:caps w:val="0"/>
        <w:smallCaps w:val="0"/>
        <w:strike w:val="0"/>
        <w:dstrike w:val="0"/>
        <w:vanish w:val="0"/>
        <w:color w:val="000000"/>
        <w:spacing w:val="0"/>
        <w:position w:val="0"/>
        <w:u w:val="none"/>
        <w:vertAlign w:val="baseline"/>
      </w:rPr>
    </w:lvl>
    <w:lvl w:ilvl="1" w:tentative="0">
      <w:start w:val="1"/>
      <w:numFmt w:val="decimal"/>
      <w:pStyle w:val="30"/>
      <w:suff w:val="nothing"/>
      <w:lvlText w:val="%1.%2"/>
      <w:lvlJc w:val="left"/>
      <w:pPr>
        <w:ind w:left="0" w:firstLine="0"/>
      </w:pPr>
      <w:rPr>
        <w:rFonts w:hint="default" w:ascii="Times New Roman" w:hAnsi="Times New Roman"/>
        <w:b/>
        <w:i w:val="0"/>
        <w:color w:val="auto"/>
        <w:sz w:val="32"/>
        <w:u w:val="none"/>
      </w:rPr>
    </w:lvl>
    <w:lvl w:ilvl="2" w:tentative="0">
      <w:start w:val="1"/>
      <w:numFmt w:val="decimal"/>
      <w:pStyle w:val="31"/>
      <w:suff w:val="nothing"/>
      <w:lvlText w:val="%1.%2.%3"/>
      <w:lvlJc w:val="left"/>
      <w:pPr>
        <w:ind w:left="2552" w:firstLine="0"/>
      </w:pPr>
      <w:rPr>
        <w:rFonts w:hint="eastAsia" w:ascii="Times New Roman" w:hAnsi="Times New Roman" w:cs="Times New Roman"/>
        <w:b w:val="0"/>
        <w:bCs w:val="0"/>
        <w:i w:val="0"/>
        <w:iCs w:val="0"/>
        <w:caps w:val="0"/>
        <w:smallCaps w:val="0"/>
        <w:strike w:val="0"/>
        <w:dstrike w:val="0"/>
        <w:vanish w:val="0"/>
        <w:color w:val="000000"/>
        <w:spacing w:val="0"/>
        <w:kern w:val="0"/>
        <w:position w:val="0"/>
        <w:u w:val="none"/>
        <w:vertAlign w:val="baseline"/>
      </w:rPr>
    </w:lvl>
    <w:lvl w:ilvl="3" w:tentative="0">
      <w:start w:val="1"/>
      <w:numFmt w:val="decimal"/>
      <w:pStyle w:val="32"/>
      <w:suff w:val="nothing"/>
      <w:lvlText w:val="%1.%2.%3.%4"/>
      <w:lvlJc w:val="left"/>
      <w:pPr>
        <w:ind w:left="510" w:firstLine="57"/>
      </w:pPr>
      <w:rPr>
        <w:rFonts w:hint="default" w:ascii="Times New Roman" w:hAnsi="Times New Roman"/>
        <w:b/>
        <w:i w:val="0"/>
        <w:color w:val="auto"/>
        <w:sz w:val="24"/>
        <w:u w:val="none"/>
      </w:rPr>
    </w:lvl>
    <w:lvl w:ilvl="4" w:tentative="0">
      <w:start w:val="1"/>
      <w:numFmt w:val="decimal"/>
      <w:lvlRestart w:val="2"/>
      <w:lvlText w:val="表 %1.%2.%5  "/>
      <w:lvlJc w:val="left"/>
      <w:pPr>
        <w:ind w:left="992" w:hanging="992"/>
      </w:pPr>
      <w:rPr>
        <w:rFonts w:hint="eastAsia"/>
      </w:rPr>
    </w:lvl>
    <w:lvl w:ilvl="5" w:tentative="0">
      <w:start w:val="1"/>
      <w:numFmt w:val="decimal"/>
      <w:lvlRestart w:val="2"/>
      <w:pStyle w:val="28"/>
      <w:lvlText w:val="图 %1.%2.%6  "/>
      <w:lvlJc w:val="left"/>
      <w:pPr>
        <w:ind w:left="5671" w:hanging="1134"/>
      </w:pPr>
      <w:rPr>
        <w:rFonts w:hint="eastAsia"/>
      </w:rPr>
    </w:lvl>
    <w:lvl w:ilvl="6" w:tentative="0">
      <w:start w:val="1"/>
      <w:numFmt w:val="decimal"/>
      <w:lvlText w:val="%1.%2.%3.%4.%5.%6.%7."/>
      <w:lvlJc w:val="left"/>
      <w:pPr>
        <w:ind w:left="1276" w:hanging="1276"/>
      </w:pPr>
      <w:rPr>
        <w:rFonts w:hint="eastAsia"/>
      </w:rPr>
    </w:lvl>
    <w:lvl w:ilvl="7" w:tentative="0">
      <w:start w:val="1"/>
      <w:numFmt w:val="decimal"/>
      <w:lvlText w:val="%1.%2.%3.%4.%5.%6.%7.%8."/>
      <w:lvlJc w:val="left"/>
      <w:pPr>
        <w:ind w:left="1418" w:hanging="1418"/>
      </w:pPr>
      <w:rPr>
        <w:rFonts w:hint="eastAsia"/>
      </w:rPr>
    </w:lvl>
    <w:lvl w:ilvl="8" w:tentative="0">
      <w:start w:val="1"/>
      <w:numFmt w:val="decimal"/>
      <w:lvlText w:val="%1.%2.%3.%4.%5.%6.%7.%8.%9."/>
      <w:lvlJc w:val="left"/>
      <w:pPr>
        <w:ind w:left="1559" w:hanging="1559"/>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6660"/>
    <w:rsid w:val="00021AA1"/>
    <w:rsid w:val="000331B2"/>
    <w:rsid w:val="00041D04"/>
    <w:rsid w:val="00045A53"/>
    <w:rsid w:val="00047D8F"/>
    <w:rsid w:val="00060656"/>
    <w:rsid w:val="0006093C"/>
    <w:rsid w:val="00062CB0"/>
    <w:rsid w:val="00070112"/>
    <w:rsid w:val="000701EA"/>
    <w:rsid w:val="0007021A"/>
    <w:rsid w:val="000710A8"/>
    <w:rsid w:val="0007122A"/>
    <w:rsid w:val="000716EC"/>
    <w:rsid w:val="00076ECD"/>
    <w:rsid w:val="00086383"/>
    <w:rsid w:val="0008780A"/>
    <w:rsid w:val="00095CE5"/>
    <w:rsid w:val="000B069F"/>
    <w:rsid w:val="000B1F64"/>
    <w:rsid w:val="000B2DDF"/>
    <w:rsid w:val="000B4821"/>
    <w:rsid w:val="000B4993"/>
    <w:rsid w:val="000B4B4C"/>
    <w:rsid w:val="000C4159"/>
    <w:rsid w:val="000D2583"/>
    <w:rsid w:val="000D40FC"/>
    <w:rsid w:val="000D5E1A"/>
    <w:rsid w:val="000D60AC"/>
    <w:rsid w:val="000E7777"/>
    <w:rsid w:val="0010217B"/>
    <w:rsid w:val="00102DF7"/>
    <w:rsid w:val="00105F11"/>
    <w:rsid w:val="00124B76"/>
    <w:rsid w:val="001256C6"/>
    <w:rsid w:val="00125BB8"/>
    <w:rsid w:val="00127BBC"/>
    <w:rsid w:val="00132FAE"/>
    <w:rsid w:val="00133D2F"/>
    <w:rsid w:val="00144653"/>
    <w:rsid w:val="00160F41"/>
    <w:rsid w:val="00165C56"/>
    <w:rsid w:val="00167EA0"/>
    <w:rsid w:val="0017334B"/>
    <w:rsid w:val="001776B9"/>
    <w:rsid w:val="0019351A"/>
    <w:rsid w:val="0019630D"/>
    <w:rsid w:val="0019794A"/>
    <w:rsid w:val="001A3016"/>
    <w:rsid w:val="001A74A7"/>
    <w:rsid w:val="001B7265"/>
    <w:rsid w:val="001B7B5B"/>
    <w:rsid w:val="001C61D0"/>
    <w:rsid w:val="001C6BDB"/>
    <w:rsid w:val="001D440E"/>
    <w:rsid w:val="001E0431"/>
    <w:rsid w:val="001F0BA0"/>
    <w:rsid w:val="001F4253"/>
    <w:rsid w:val="0020387D"/>
    <w:rsid w:val="00213D9C"/>
    <w:rsid w:val="002155FD"/>
    <w:rsid w:val="0022299B"/>
    <w:rsid w:val="00247191"/>
    <w:rsid w:val="002473D0"/>
    <w:rsid w:val="0025462A"/>
    <w:rsid w:val="00256EBF"/>
    <w:rsid w:val="00264E83"/>
    <w:rsid w:val="002724D8"/>
    <w:rsid w:val="002750BB"/>
    <w:rsid w:val="00277616"/>
    <w:rsid w:val="002830FA"/>
    <w:rsid w:val="00286B5C"/>
    <w:rsid w:val="00292986"/>
    <w:rsid w:val="00292AAD"/>
    <w:rsid w:val="0029766C"/>
    <w:rsid w:val="002A33D3"/>
    <w:rsid w:val="002A515F"/>
    <w:rsid w:val="002A5E1F"/>
    <w:rsid w:val="002B04E1"/>
    <w:rsid w:val="002B5161"/>
    <w:rsid w:val="002C5C08"/>
    <w:rsid w:val="002D4BFE"/>
    <w:rsid w:val="002D6FD2"/>
    <w:rsid w:val="002E12C8"/>
    <w:rsid w:val="002F1AB9"/>
    <w:rsid w:val="0030234A"/>
    <w:rsid w:val="00302C4B"/>
    <w:rsid w:val="003034DB"/>
    <w:rsid w:val="00305685"/>
    <w:rsid w:val="00313111"/>
    <w:rsid w:val="00313BBD"/>
    <w:rsid w:val="00316FC0"/>
    <w:rsid w:val="00322CE4"/>
    <w:rsid w:val="00344825"/>
    <w:rsid w:val="00345FC7"/>
    <w:rsid w:val="003467FE"/>
    <w:rsid w:val="003525D5"/>
    <w:rsid w:val="00355193"/>
    <w:rsid w:val="0035655A"/>
    <w:rsid w:val="00365651"/>
    <w:rsid w:val="00365E9A"/>
    <w:rsid w:val="00374C4F"/>
    <w:rsid w:val="00380266"/>
    <w:rsid w:val="003807DC"/>
    <w:rsid w:val="00381650"/>
    <w:rsid w:val="003816FF"/>
    <w:rsid w:val="00394DA9"/>
    <w:rsid w:val="003A2BC6"/>
    <w:rsid w:val="003A2E79"/>
    <w:rsid w:val="003B1E13"/>
    <w:rsid w:val="003B2C53"/>
    <w:rsid w:val="003D1E4D"/>
    <w:rsid w:val="003D3760"/>
    <w:rsid w:val="003E0A6D"/>
    <w:rsid w:val="003E0E5F"/>
    <w:rsid w:val="00406277"/>
    <w:rsid w:val="00407965"/>
    <w:rsid w:val="00407AA5"/>
    <w:rsid w:val="0041037C"/>
    <w:rsid w:val="004203D3"/>
    <w:rsid w:val="00422251"/>
    <w:rsid w:val="00423FE0"/>
    <w:rsid w:val="00426EE5"/>
    <w:rsid w:val="00427F7B"/>
    <w:rsid w:val="004336E3"/>
    <w:rsid w:val="0044467D"/>
    <w:rsid w:val="00447D51"/>
    <w:rsid w:val="0045029F"/>
    <w:rsid w:val="004523D5"/>
    <w:rsid w:val="00452C1D"/>
    <w:rsid w:val="00453D65"/>
    <w:rsid w:val="004642D9"/>
    <w:rsid w:val="00467498"/>
    <w:rsid w:val="00471558"/>
    <w:rsid w:val="00480C30"/>
    <w:rsid w:val="00481741"/>
    <w:rsid w:val="00492128"/>
    <w:rsid w:val="00493928"/>
    <w:rsid w:val="004B08B9"/>
    <w:rsid w:val="004D2AAD"/>
    <w:rsid w:val="004D58BF"/>
    <w:rsid w:val="004E0D8A"/>
    <w:rsid w:val="004E3E1E"/>
    <w:rsid w:val="004F27C8"/>
    <w:rsid w:val="005030E5"/>
    <w:rsid w:val="005053E3"/>
    <w:rsid w:val="00506480"/>
    <w:rsid w:val="00525E27"/>
    <w:rsid w:val="00527AF1"/>
    <w:rsid w:val="00544712"/>
    <w:rsid w:val="00555A85"/>
    <w:rsid w:val="005561C7"/>
    <w:rsid w:val="00556C17"/>
    <w:rsid w:val="00557033"/>
    <w:rsid w:val="00562155"/>
    <w:rsid w:val="00575537"/>
    <w:rsid w:val="00575B59"/>
    <w:rsid w:val="0059068D"/>
    <w:rsid w:val="005971A2"/>
    <w:rsid w:val="005A214C"/>
    <w:rsid w:val="005A78F8"/>
    <w:rsid w:val="005D0404"/>
    <w:rsid w:val="005D0B81"/>
    <w:rsid w:val="005D4EE8"/>
    <w:rsid w:val="005D69F0"/>
    <w:rsid w:val="005F0A99"/>
    <w:rsid w:val="005F12F1"/>
    <w:rsid w:val="005F3516"/>
    <w:rsid w:val="005F58EF"/>
    <w:rsid w:val="0060040F"/>
    <w:rsid w:val="00600FBA"/>
    <w:rsid w:val="00613734"/>
    <w:rsid w:val="00620329"/>
    <w:rsid w:val="006229EB"/>
    <w:rsid w:val="00630A74"/>
    <w:rsid w:val="00634AA1"/>
    <w:rsid w:val="00646767"/>
    <w:rsid w:val="00646ED3"/>
    <w:rsid w:val="006510A4"/>
    <w:rsid w:val="006657C7"/>
    <w:rsid w:val="00672A74"/>
    <w:rsid w:val="006842DF"/>
    <w:rsid w:val="0068462F"/>
    <w:rsid w:val="00690FDB"/>
    <w:rsid w:val="00696B79"/>
    <w:rsid w:val="00697289"/>
    <w:rsid w:val="006B0DB5"/>
    <w:rsid w:val="006C2368"/>
    <w:rsid w:val="006D1A42"/>
    <w:rsid w:val="006E49AE"/>
    <w:rsid w:val="006E77B5"/>
    <w:rsid w:val="006F2981"/>
    <w:rsid w:val="006F43B6"/>
    <w:rsid w:val="006F73C1"/>
    <w:rsid w:val="00707A38"/>
    <w:rsid w:val="007120CF"/>
    <w:rsid w:val="007266B2"/>
    <w:rsid w:val="00746ABA"/>
    <w:rsid w:val="00750C9A"/>
    <w:rsid w:val="00752B3E"/>
    <w:rsid w:val="007545B9"/>
    <w:rsid w:val="00762E40"/>
    <w:rsid w:val="007637C8"/>
    <w:rsid w:val="007642EE"/>
    <w:rsid w:val="00766FBB"/>
    <w:rsid w:val="007674D4"/>
    <w:rsid w:val="007711EA"/>
    <w:rsid w:val="00776ADA"/>
    <w:rsid w:val="00783D9D"/>
    <w:rsid w:val="00790B79"/>
    <w:rsid w:val="00791A47"/>
    <w:rsid w:val="00791D29"/>
    <w:rsid w:val="00796560"/>
    <w:rsid w:val="007A272A"/>
    <w:rsid w:val="007B177C"/>
    <w:rsid w:val="007B1A50"/>
    <w:rsid w:val="007B494D"/>
    <w:rsid w:val="007C4267"/>
    <w:rsid w:val="007C498C"/>
    <w:rsid w:val="007C4D84"/>
    <w:rsid w:val="007C610D"/>
    <w:rsid w:val="007C7D91"/>
    <w:rsid w:val="007D0FC2"/>
    <w:rsid w:val="007D3CE2"/>
    <w:rsid w:val="007E66F0"/>
    <w:rsid w:val="007E74AA"/>
    <w:rsid w:val="007F4D6C"/>
    <w:rsid w:val="007F6520"/>
    <w:rsid w:val="007F6758"/>
    <w:rsid w:val="007F7139"/>
    <w:rsid w:val="00801534"/>
    <w:rsid w:val="008306A0"/>
    <w:rsid w:val="00833506"/>
    <w:rsid w:val="00841C17"/>
    <w:rsid w:val="008445B7"/>
    <w:rsid w:val="00844987"/>
    <w:rsid w:val="008516B0"/>
    <w:rsid w:val="008551C2"/>
    <w:rsid w:val="00860DA1"/>
    <w:rsid w:val="0086163D"/>
    <w:rsid w:val="00863D21"/>
    <w:rsid w:val="00866A11"/>
    <w:rsid w:val="00871568"/>
    <w:rsid w:val="00871C0F"/>
    <w:rsid w:val="00873F4F"/>
    <w:rsid w:val="008766B1"/>
    <w:rsid w:val="008768CE"/>
    <w:rsid w:val="00880B03"/>
    <w:rsid w:val="00881EAB"/>
    <w:rsid w:val="00883D75"/>
    <w:rsid w:val="00884BEA"/>
    <w:rsid w:val="008875F0"/>
    <w:rsid w:val="00891590"/>
    <w:rsid w:val="0089503C"/>
    <w:rsid w:val="008A0444"/>
    <w:rsid w:val="008A2E5C"/>
    <w:rsid w:val="008A6F7E"/>
    <w:rsid w:val="008A7178"/>
    <w:rsid w:val="008B11C6"/>
    <w:rsid w:val="008B1C68"/>
    <w:rsid w:val="008B20AA"/>
    <w:rsid w:val="008B3E86"/>
    <w:rsid w:val="008C4D30"/>
    <w:rsid w:val="008D583F"/>
    <w:rsid w:val="008D6761"/>
    <w:rsid w:val="008D6915"/>
    <w:rsid w:val="008D71D4"/>
    <w:rsid w:val="008E0752"/>
    <w:rsid w:val="008E48A1"/>
    <w:rsid w:val="008E6358"/>
    <w:rsid w:val="008F05D8"/>
    <w:rsid w:val="0090565A"/>
    <w:rsid w:val="0090713D"/>
    <w:rsid w:val="00907C20"/>
    <w:rsid w:val="00911FF5"/>
    <w:rsid w:val="00912D97"/>
    <w:rsid w:val="00920647"/>
    <w:rsid w:val="009207E0"/>
    <w:rsid w:val="00924AF7"/>
    <w:rsid w:val="00932037"/>
    <w:rsid w:val="009327A8"/>
    <w:rsid w:val="009332CE"/>
    <w:rsid w:val="00936506"/>
    <w:rsid w:val="00950F8C"/>
    <w:rsid w:val="00952FE3"/>
    <w:rsid w:val="009675A9"/>
    <w:rsid w:val="00970D2E"/>
    <w:rsid w:val="009717A2"/>
    <w:rsid w:val="00974C99"/>
    <w:rsid w:val="00982A3E"/>
    <w:rsid w:val="00991D39"/>
    <w:rsid w:val="00997928"/>
    <w:rsid w:val="009A2E1A"/>
    <w:rsid w:val="009B15BA"/>
    <w:rsid w:val="009C0C91"/>
    <w:rsid w:val="009C1BCC"/>
    <w:rsid w:val="009D2D82"/>
    <w:rsid w:val="009E4DAE"/>
    <w:rsid w:val="009E52F6"/>
    <w:rsid w:val="009F1C8E"/>
    <w:rsid w:val="009F30EE"/>
    <w:rsid w:val="009F3C74"/>
    <w:rsid w:val="009F790C"/>
    <w:rsid w:val="00A041B5"/>
    <w:rsid w:val="00A10244"/>
    <w:rsid w:val="00A10AA7"/>
    <w:rsid w:val="00A15440"/>
    <w:rsid w:val="00A16C9E"/>
    <w:rsid w:val="00A219DE"/>
    <w:rsid w:val="00A230C5"/>
    <w:rsid w:val="00A2430C"/>
    <w:rsid w:val="00A27FDB"/>
    <w:rsid w:val="00A33C84"/>
    <w:rsid w:val="00A351EF"/>
    <w:rsid w:val="00A41540"/>
    <w:rsid w:val="00A45239"/>
    <w:rsid w:val="00A569CF"/>
    <w:rsid w:val="00A625CE"/>
    <w:rsid w:val="00A66987"/>
    <w:rsid w:val="00A748F4"/>
    <w:rsid w:val="00A82507"/>
    <w:rsid w:val="00A83209"/>
    <w:rsid w:val="00A85C04"/>
    <w:rsid w:val="00A90214"/>
    <w:rsid w:val="00A930A8"/>
    <w:rsid w:val="00A94D0A"/>
    <w:rsid w:val="00A95C97"/>
    <w:rsid w:val="00A95D59"/>
    <w:rsid w:val="00AA2CF4"/>
    <w:rsid w:val="00AA308D"/>
    <w:rsid w:val="00AA604B"/>
    <w:rsid w:val="00AB083C"/>
    <w:rsid w:val="00AB36CB"/>
    <w:rsid w:val="00AC584B"/>
    <w:rsid w:val="00AD0425"/>
    <w:rsid w:val="00AD2F05"/>
    <w:rsid w:val="00AE6B03"/>
    <w:rsid w:val="00B034EF"/>
    <w:rsid w:val="00B042CE"/>
    <w:rsid w:val="00B04D17"/>
    <w:rsid w:val="00B15B9C"/>
    <w:rsid w:val="00B2071F"/>
    <w:rsid w:val="00B2295C"/>
    <w:rsid w:val="00B25745"/>
    <w:rsid w:val="00B3114D"/>
    <w:rsid w:val="00B31C0E"/>
    <w:rsid w:val="00B4444B"/>
    <w:rsid w:val="00B45C64"/>
    <w:rsid w:val="00B47302"/>
    <w:rsid w:val="00B5374D"/>
    <w:rsid w:val="00B55376"/>
    <w:rsid w:val="00B600EE"/>
    <w:rsid w:val="00B61F30"/>
    <w:rsid w:val="00B61F83"/>
    <w:rsid w:val="00B637E4"/>
    <w:rsid w:val="00B642EC"/>
    <w:rsid w:val="00B646EB"/>
    <w:rsid w:val="00B65635"/>
    <w:rsid w:val="00B66660"/>
    <w:rsid w:val="00B7440B"/>
    <w:rsid w:val="00B82CD5"/>
    <w:rsid w:val="00B92FCB"/>
    <w:rsid w:val="00B95FC8"/>
    <w:rsid w:val="00BB00DC"/>
    <w:rsid w:val="00BB0CAB"/>
    <w:rsid w:val="00BB2BEC"/>
    <w:rsid w:val="00BB3548"/>
    <w:rsid w:val="00BB3F04"/>
    <w:rsid w:val="00BC56D3"/>
    <w:rsid w:val="00BC5885"/>
    <w:rsid w:val="00BD03AA"/>
    <w:rsid w:val="00BD4B60"/>
    <w:rsid w:val="00BE198C"/>
    <w:rsid w:val="00BE6656"/>
    <w:rsid w:val="00BF3987"/>
    <w:rsid w:val="00C02E10"/>
    <w:rsid w:val="00C05BBE"/>
    <w:rsid w:val="00C064CD"/>
    <w:rsid w:val="00C138B1"/>
    <w:rsid w:val="00C1535F"/>
    <w:rsid w:val="00C23F70"/>
    <w:rsid w:val="00C24717"/>
    <w:rsid w:val="00C27383"/>
    <w:rsid w:val="00C30B70"/>
    <w:rsid w:val="00C418C9"/>
    <w:rsid w:val="00C4214F"/>
    <w:rsid w:val="00C44EE5"/>
    <w:rsid w:val="00C456CE"/>
    <w:rsid w:val="00C468FF"/>
    <w:rsid w:val="00C61733"/>
    <w:rsid w:val="00C67C56"/>
    <w:rsid w:val="00C77EC3"/>
    <w:rsid w:val="00C82188"/>
    <w:rsid w:val="00C90E7E"/>
    <w:rsid w:val="00C928CE"/>
    <w:rsid w:val="00C949B9"/>
    <w:rsid w:val="00C951DB"/>
    <w:rsid w:val="00C97E0C"/>
    <w:rsid w:val="00CA1D55"/>
    <w:rsid w:val="00CA3416"/>
    <w:rsid w:val="00CB0047"/>
    <w:rsid w:val="00CC2895"/>
    <w:rsid w:val="00CC2C95"/>
    <w:rsid w:val="00CC5794"/>
    <w:rsid w:val="00CC5AAA"/>
    <w:rsid w:val="00CD20EE"/>
    <w:rsid w:val="00CD7D23"/>
    <w:rsid w:val="00CE4759"/>
    <w:rsid w:val="00CF17CF"/>
    <w:rsid w:val="00CF4DA8"/>
    <w:rsid w:val="00CF4DC2"/>
    <w:rsid w:val="00CF6438"/>
    <w:rsid w:val="00CF7A37"/>
    <w:rsid w:val="00D048DA"/>
    <w:rsid w:val="00D05717"/>
    <w:rsid w:val="00D07645"/>
    <w:rsid w:val="00D07707"/>
    <w:rsid w:val="00D07BBC"/>
    <w:rsid w:val="00D10F61"/>
    <w:rsid w:val="00D112AC"/>
    <w:rsid w:val="00D16B46"/>
    <w:rsid w:val="00D171F7"/>
    <w:rsid w:val="00D3069C"/>
    <w:rsid w:val="00D33408"/>
    <w:rsid w:val="00D44244"/>
    <w:rsid w:val="00D647E7"/>
    <w:rsid w:val="00D652A0"/>
    <w:rsid w:val="00D71C99"/>
    <w:rsid w:val="00D725B8"/>
    <w:rsid w:val="00D72F32"/>
    <w:rsid w:val="00D83851"/>
    <w:rsid w:val="00D83A1F"/>
    <w:rsid w:val="00D84533"/>
    <w:rsid w:val="00D8491A"/>
    <w:rsid w:val="00D94657"/>
    <w:rsid w:val="00DB2324"/>
    <w:rsid w:val="00DB3DA9"/>
    <w:rsid w:val="00DB48B6"/>
    <w:rsid w:val="00DD346A"/>
    <w:rsid w:val="00DD41F1"/>
    <w:rsid w:val="00DD63DB"/>
    <w:rsid w:val="00DE0676"/>
    <w:rsid w:val="00DE1104"/>
    <w:rsid w:val="00E016D1"/>
    <w:rsid w:val="00E036B9"/>
    <w:rsid w:val="00E164E9"/>
    <w:rsid w:val="00E17676"/>
    <w:rsid w:val="00E252D8"/>
    <w:rsid w:val="00E31488"/>
    <w:rsid w:val="00E33F14"/>
    <w:rsid w:val="00E41238"/>
    <w:rsid w:val="00E5620D"/>
    <w:rsid w:val="00E56D6B"/>
    <w:rsid w:val="00E67E55"/>
    <w:rsid w:val="00E760EF"/>
    <w:rsid w:val="00E8142D"/>
    <w:rsid w:val="00E871E4"/>
    <w:rsid w:val="00E975B1"/>
    <w:rsid w:val="00EA3EC5"/>
    <w:rsid w:val="00EA61F2"/>
    <w:rsid w:val="00EB7658"/>
    <w:rsid w:val="00EC0077"/>
    <w:rsid w:val="00EC00BE"/>
    <w:rsid w:val="00EC1525"/>
    <w:rsid w:val="00EC4F2F"/>
    <w:rsid w:val="00EC6180"/>
    <w:rsid w:val="00EC77A4"/>
    <w:rsid w:val="00EC7D6A"/>
    <w:rsid w:val="00EE121E"/>
    <w:rsid w:val="00EE35AB"/>
    <w:rsid w:val="00EE5F5F"/>
    <w:rsid w:val="00EF0F3A"/>
    <w:rsid w:val="00EF5495"/>
    <w:rsid w:val="00EF6506"/>
    <w:rsid w:val="00EF7271"/>
    <w:rsid w:val="00F01C77"/>
    <w:rsid w:val="00F0529D"/>
    <w:rsid w:val="00F13A3B"/>
    <w:rsid w:val="00F178C8"/>
    <w:rsid w:val="00F2328B"/>
    <w:rsid w:val="00F232B9"/>
    <w:rsid w:val="00F2661E"/>
    <w:rsid w:val="00F3332C"/>
    <w:rsid w:val="00F33C29"/>
    <w:rsid w:val="00F345B8"/>
    <w:rsid w:val="00F37722"/>
    <w:rsid w:val="00F4454B"/>
    <w:rsid w:val="00F4527C"/>
    <w:rsid w:val="00F50259"/>
    <w:rsid w:val="00F514FC"/>
    <w:rsid w:val="00F53880"/>
    <w:rsid w:val="00F6013C"/>
    <w:rsid w:val="00F646E7"/>
    <w:rsid w:val="00F65EF2"/>
    <w:rsid w:val="00F66E3E"/>
    <w:rsid w:val="00F7657F"/>
    <w:rsid w:val="00F80640"/>
    <w:rsid w:val="00F87580"/>
    <w:rsid w:val="00FA1072"/>
    <w:rsid w:val="00FB0D3C"/>
    <w:rsid w:val="00FB2C37"/>
    <w:rsid w:val="00FB3722"/>
    <w:rsid w:val="00FB7412"/>
    <w:rsid w:val="00FC2DB4"/>
    <w:rsid w:val="00FC50D6"/>
    <w:rsid w:val="00FE0700"/>
    <w:rsid w:val="00FE32A0"/>
    <w:rsid w:val="00FE7897"/>
    <w:rsid w:val="00FF0296"/>
    <w:rsid w:val="00FF2D40"/>
    <w:rsid w:val="00FF699F"/>
    <w:rsid w:val="00FF6A2C"/>
    <w:rsid w:val="00FF73FC"/>
    <w:rsid w:val="00FF7E4B"/>
    <w:rsid w:val="2EEA18C4"/>
    <w:rsid w:val="46C871FD"/>
    <w:rsid w:val="4DC00272"/>
    <w:rsid w:val="6DA17C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nhideWhenUsed="0" w:uiPriority="0" w:semiHidden="0"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宋体" w:cs="Times New Roman"/>
      <w:kern w:val="2"/>
      <w:sz w:val="24"/>
      <w:szCs w:val="22"/>
      <w:lang w:val="en-US" w:eastAsia="zh-CN" w:bidi="ar-SA"/>
    </w:rPr>
  </w:style>
  <w:style w:type="paragraph" w:styleId="2">
    <w:name w:val="heading 1"/>
    <w:basedOn w:val="1"/>
    <w:next w:val="1"/>
    <w:link w:val="15"/>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6"/>
    <w:unhideWhenUsed/>
    <w:qFormat/>
    <w:uiPriority w:val="9"/>
    <w:pPr>
      <w:keepNext/>
      <w:keepLines/>
      <w:spacing w:before="260" w:after="260" w:line="415" w:lineRule="auto"/>
      <w:ind w:firstLine="0" w:firstLineChars="0"/>
      <w:outlineLvl w:val="1"/>
    </w:pPr>
    <w:rPr>
      <w:rFonts w:ascii="等线 Light" w:hAnsi="等线 Light" w:eastAsia="等线 Light"/>
      <w:b/>
      <w:bCs/>
      <w:sz w:val="32"/>
      <w:szCs w:val="32"/>
    </w:rPr>
  </w:style>
  <w:style w:type="paragraph" w:styleId="4">
    <w:name w:val="heading 3"/>
    <w:basedOn w:val="1"/>
    <w:next w:val="1"/>
    <w:link w:val="17"/>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18"/>
    <w:semiHidden/>
    <w:unhideWhenUsed/>
    <w:qFormat/>
    <w:uiPriority w:val="9"/>
    <w:pPr>
      <w:keepNext/>
      <w:keepLines/>
      <w:spacing w:before="280" w:after="290" w:line="376" w:lineRule="auto"/>
      <w:outlineLvl w:val="3"/>
    </w:pPr>
    <w:rPr>
      <w:rFonts w:ascii="等线 Light" w:hAnsi="等线 Light" w:eastAsia="等线 Light"/>
      <w:b/>
      <w:bCs/>
      <w:sz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Body Text Indent 2"/>
    <w:basedOn w:val="1"/>
    <w:link w:val="38"/>
    <w:uiPriority w:val="0"/>
    <w:pPr>
      <w:ind w:left="481" w:leftChars="229"/>
    </w:pPr>
    <w:rPr>
      <w:rFonts w:ascii="宋体" w:hAnsi="宋体"/>
      <w:szCs w:val="20"/>
    </w:rPr>
  </w:style>
  <w:style w:type="paragraph" w:styleId="7">
    <w:name w:val="Balloon Text"/>
    <w:basedOn w:val="1"/>
    <w:link w:val="51"/>
    <w:semiHidden/>
    <w:unhideWhenUsed/>
    <w:qFormat/>
    <w:uiPriority w:val="99"/>
    <w:pPr>
      <w:spacing w:line="240" w:lineRule="auto"/>
    </w:pPr>
    <w:rPr>
      <w:sz w:val="18"/>
      <w:szCs w:val="18"/>
    </w:rPr>
  </w:style>
  <w:style w:type="paragraph" w:styleId="8">
    <w:name w:val="footer"/>
    <w:basedOn w:val="1"/>
    <w:link w:val="35"/>
    <w:unhideWhenUsed/>
    <w:qFormat/>
    <w:uiPriority w:val="99"/>
    <w:pPr>
      <w:tabs>
        <w:tab w:val="center" w:pos="4153"/>
        <w:tab w:val="right" w:pos="8306"/>
      </w:tabs>
      <w:snapToGrid w:val="0"/>
      <w:spacing w:line="240" w:lineRule="auto"/>
    </w:pPr>
    <w:rPr>
      <w:sz w:val="18"/>
      <w:szCs w:val="18"/>
    </w:rPr>
  </w:style>
  <w:style w:type="paragraph" w:styleId="9">
    <w:name w:val="header"/>
    <w:basedOn w:val="1"/>
    <w:link w:val="34"/>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10">
    <w:name w:val="toc 1"/>
    <w:basedOn w:val="1"/>
    <w:next w:val="1"/>
    <w:unhideWhenUsed/>
    <w:uiPriority w:val="39"/>
  </w:style>
  <w:style w:type="paragraph" w:styleId="11">
    <w:name w:val="toc 2"/>
    <w:basedOn w:val="1"/>
    <w:next w:val="1"/>
    <w:unhideWhenUsed/>
    <w:uiPriority w:val="39"/>
    <w:pPr>
      <w:ind w:left="420" w:leftChars="200"/>
    </w:pPr>
  </w:style>
  <w:style w:type="character" w:styleId="14">
    <w:name w:val="Hyperlink"/>
    <w:basedOn w:val="13"/>
    <w:unhideWhenUsed/>
    <w:uiPriority w:val="99"/>
    <w:rPr>
      <w:color w:val="0563C1" w:themeColor="hyperlink"/>
      <w:u w:val="single"/>
      <w14:textFill>
        <w14:solidFill>
          <w14:schemeClr w14:val="hlink"/>
        </w14:solidFill>
      </w14:textFill>
    </w:rPr>
  </w:style>
  <w:style w:type="character" w:customStyle="1" w:styleId="15">
    <w:name w:val="标题 1 字符"/>
    <w:link w:val="2"/>
    <w:qFormat/>
    <w:uiPriority w:val="9"/>
    <w:rPr>
      <w:rFonts w:ascii="Times New Roman" w:hAnsi="Times New Roman" w:eastAsia="宋体"/>
      <w:b/>
      <w:bCs/>
      <w:kern w:val="44"/>
      <w:sz w:val="44"/>
      <w:szCs w:val="44"/>
    </w:rPr>
  </w:style>
  <w:style w:type="character" w:customStyle="1" w:styleId="16">
    <w:name w:val="标题 2 字符"/>
    <w:link w:val="3"/>
    <w:qFormat/>
    <w:uiPriority w:val="9"/>
    <w:rPr>
      <w:rFonts w:ascii="等线 Light" w:hAnsi="等线 Light" w:eastAsia="等线 Light" w:cs="Times New Roman"/>
      <w:b/>
      <w:bCs/>
      <w:sz w:val="32"/>
      <w:szCs w:val="32"/>
    </w:rPr>
  </w:style>
  <w:style w:type="character" w:customStyle="1" w:styleId="17">
    <w:name w:val="标题 3 字符"/>
    <w:link w:val="4"/>
    <w:qFormat/>
    <w:uiPriority w:val="9"/>
    <w:rPr>
      <w:rFonts w:ascii="Times New Roman" w:hAnsi="Times New Roman" w:eastAsia="宋体"/>
      <w:b/>
      <w:bCs/>
      <w:sz w:val="32"/>
      <w:szCs w:val="32"/>
    </w:rPr>
  </w:style>
  <w:style w:type="character" w:customStyle="1" w:styleId="18">
    <w:name w:val="标题 4 字符"/>
    <w:link w:val="5"/>
    <w:semiHidden/>
    <w:qFormat/>
    <w:uiPriority w:val="9"/>
    <w:rPr>
      <w:rFonts w:ascii="等线 Light" w:hAnsi="等线 Light" w:eastAsia="等线 Light" w:cs="Times New Roman"/>
      <w:b/>
      <w:bCs/>
      <w:sz w:val="28"/>
      <w:szCs w:val="28"/>
    </w:rPr>
  </w:style>
  <w:style w:type="paragraph" w:customStyle="1" w:styleId="19">
    <w:name w:val="表格"/>
    <w:basedOn w:val="1"/>
    <w:link w:val="20"/>
    <w:qFormat/>
    <w:uiPriority w:val="0"/>
    <w:pPr>
      <w:spacing w:line="240" w:lineRule="auto"/>
      <w:ind w:firstLine="0" w:firstLineChars="0"/>
      <w:jc w:val="center"/>
    </w:pPr>
    <w:rPr>
      <w:rFonts w:cs="宋体"/>
      <w:color w:val="000000"/>
      <w:sz w:val="21"/>
    </w:rPr>
  </w:style>
  <w:style w:type="character" w:customStyle="1" w:styleId="20">
    <w:name w:val="表格 字符"/>
    <w:link w:val="19"/>
    <w:qFormat/>
    <w:uiPriority w:val="0"/>
    <w:rPr>
      <w:rFonts w:ascii="Times New Roman" w:hAnsi="Times New Roman" w:eastAsia="宋体" w:cs="宋体"/>
      <w:color w:val="000000"/>
      <w:kern w:val="2"/>
      <w:sz w:val="21"/>
      <w:szCs w:val="22"/>
    </w:rPr>
  </w:style>
  <w:style w:type="paragraph" w:customStyle="1" w:styleId="21">
    <w:name w:val="表头"/>
    <w:basedOn w:val="1"/>
    <w:link w:val="22"/>
    <w:qFormat/>
    <w:uiPriority w:val="0"/>
    <w:pPr>
      <w:adjustRightInd w:val="0"/>
      <w:snapToGrid w:val="0"/>
      <w:spacing w:line="240" w:lineRule="auto"/>
      <w:ind w:firstLine="0" w:firstLineChars="0"/>
      <w:jc w:val="center"/>
      <w:outlineLvl w:val="5"/>
    </w:pPr>
    <w:rPr>
      <w:b/>
      <w:sz w:val="21"/>
    </w:rPr>
  </w:style>
  <w:style w:type="character" w:customStyle="1" w:styleId="22">
    <w:name w:val="表头 字符"/>
    <w:link w:val="21"/>
    <w:qFormat/>
    <w:uiPriority w:val="0"/>
    <w:rPr>
      <w:rFonts w:ascii="Times New Roman" w:hAnsi="Times New Roman" w:eastAsia="宋体"/>
      <w:b/>
      <w:kern w:val="2"/>
      <w:sz w:val="21"/>
      <w:szCs w:val="22"/>
    </w:rPr>
  </w:style>
  <w:style w:type="paragraph" w:customStyle="1" w:styleId="23">
    <w:name w:val="图头"/>
    <w:basedOn w:val="21"/>
    <w:link w:val="24"/>
    <w:qFormat/>
    <w:uiPriority w:val="0"/>
    <w:pPr>
      <w:spacing w:line="360" w:lineRule="auto"/>
    </w:pPr>
    <w:rPr>
      <w:szCs w:val="21"/>
    </w:rPr>
  </w:style>
  <w:style w:type="character" w:customStyle="1" w:styleId="24">
    <w:name w:val="图头 字符"/>
    <w:link w:val="23"/>
    <w:qFormat/>
    <w:uiPriority w:val="0"/>
    <w:rPr>
      <w:rFonts w:ascii="Times New Roman" w:hAnsi="Times New Roman" w:eastAsia="宋体"/>
      <w:b/>
      <w:kern w:val="2"/>
      <w:sz w:val="21"/>
      <w:szCs w:val="21"/>
    </w:rPr>
  </w:style>
  <w:style w:type="paragraph" w:customStyle="1" w:styleId="25">
    <w:name w:val="报告图内"/>
    <w:basedOn w:val="1"/>
    <w:next w:val="1"/>
    <w:qFormat/>
    <w:uiPriority w:val="99"/>
    <w:pPr>
      <w:adjustRightInd w:val="0"/>
      <w:snapToGrid w:val="0"/>
      <w:spacing w:beforeLines="50" w:line="240" w:lineRule="auto"/>
      <w:ind w:firstLine="0" w:firstLineChars="0"/>
      <w:jc w:val="center"/>
    </w:pPr>
  </w:style>
  <w:style w:type="paragraph" w:customStyle="1" w:styleId="26">
    <w:name w:val="报告正文"/>
    <w:basedOn w:val="1"/>
    <w:link w:val="27"/>
    <w:qFormat/>
    <w:uiPriority w:val="0"/>
    <w:pPr>
      <w:adjustRightInd w:val="0"/>
      <w:snapToGrid w:val="0"/>
    </w:pPr>
    <w:rPr>
      <w:rFonts w:asciiTheme="minorHAnsi" w:hAnsiTheme="minorHAnsi" w:cstheme="minorBidi"/>
      <w:szCs w:val="20"/>
      <w:lang w:val="zh-CN"/>
    </w:rPr>
  </w:style>
  <w:style w:type="character" w:customStyle="1" w:styleId="27">
    <w:name w:val="报告正文 Char"/>
    <w:link w:val="26"/>
    <w:qFormat/>
    <w:uiPriority w:val="0"/>
    <w:rPr>
      <w:rFonts w:eastAsia="宋体" w:asciiTheme="minorHAnsi" w:hAnsiTheme="minorHAnsi" w:cstheme="minorBidi"/>
      <w:kern w:val="2"/>
      <w:sz w:val="24"/>
      <w:lang w:val="zh-CN" w:eastAsia="zh-CN"/>
    </w:rPr>
  </w:style>
  <w:style w:type="paragraph" w:customStyle="1" w:styleId="28">
    <w:name w:val="报告图头"/>
    <w:basedOn w:val="1"/>
    <w:next w:val="26"/>
    <w:qFormat/>
    <w:uiPriority w:val="99"/>
    <w:pPr>
      <w:numPr>
        <w:ilvl w:val="5"/>
        <w:numId w:val="1"/>
      </w:numPr>
      <w:adjustRightInd w:val="0"/>
      <w:snapToGrid w:val="0"/>
      <w:ind w:firstLine="0" w:firstLineChars="0"/>
      <w:jc w:val="center"/>
      <w:outlineLvl w:val="5"/>
    </w:pPr>
    <w:rPr>
      <w:b/>
    </w:rPr>
  </w:style>
  <w:style w:type="paragraph" w:customStyle="1" w:styleId="29">
    <w:name w:val="报告标1"/>
    <w:basedOn w:val="2"/>
    <w:next w:val="1"/>
    <w:qFormat/>
    <w:uiPriority w:val="0"/>
    <w:pPr>
      <w:numPr>
        <w:ilvl w:val="0"/>
        <w:numId w:val="1"/>
      </w:numPr>
      <w:adjustRightInd w:val="0"/>
      <w:snapToGrid w:val="0"/>
      <w:spacing w:before="100" w:beforeLines="100" w:after="100" w:afterLines="100" w:line="240" w:lineRule="auto"/>
      <w:ind w:firstLine="0" w:firstLineChars="0"/>
      <w:jc w:val="center"/>
    </w:pPr>
    <w:rPr>
      <w:rFonts w:eastAsia="黑体"/>
      <w:sz w:val="36"/>
      <w:szCs w:val="36"/>
      <w:lang w:val="zh-CN"/>
    </w:rPr>
  </w:style>
  <w:style w:type="paragraph" w:customStyle="1" w:styleId="30">
    <w:name w:val="报告标2"/>
    <w:basedOn w:val="3"/>
    <w:next w:val="1"/>
    <w:qFormat/>
    <w:uiPriority w:val="0"/>
    <w:pPr>
      <w:numPr>
        <w:ilvl w:val="1"/>
        <w:numId w:val="1"/>
      </w:numPr>
      <w:tabs>
        <w:tab w:val="left" w:pos="567"/>
      </w:tabs>
      <w:adjustRightInd w:val="0"/>
      <w:snapToGrid w:val="0"/>
      <w:spacing w:before="240" w:after="240" w:line="240" w:lineRule="auto"/>
    </w:pPr>
    <w:rPr>
      <w:rFonts w:ascii="Times New Roman" w:hAnsi="Times New Roman" w:eastAsia="宋体"/>
      <w:lang w:val="zh-CN"/>
    </w:rPr>
  </w:style>
  <w:style w:type="paragraph" w:customStyle="1" w:styleId="31">
    <w:name w:val="报告标3"/>
    <w:basedOn w:val="4"/>
    <w:next w:val="26"/>
    <w:qFormat/>
    <w:uiPriority w:val="0"/>
    <w:pPr>
      <w:numPr>
        <w:ilvl w:val="2"/>
        <w:numId w:val="1"/>
      </w:numPr>
      <w:tabs>
        <w:tab w:val="left" w:pos="851"/>
      </w:tabs>
      <w:adjustRightInd w:val="0"/>
      <w:snapToGrid w:val="0"/>
      <w:spacing w:before="100" w:beforeLines="100" w:after="50" w:afterLines="50" w:line="240" w:lineRule="auto"/>
      <w:ind w:firstLineChars="0"/>
    </w:pPr>
    <w:rPr>
      <w:kern w:val="0"/>
      <w:sz w:val="28"/>
      <w:szCs w:val="28"/>
      <w:lang w:val="zh-CN"/>
    </w:rPr>
  </w:style>
  <w:style w:type="paragraph" w:customStyle="1" w:styleId="32">
    <w:name w:val="报告标4"/>
    <w:basedOn w:val="5"/>
    <w:next w:val="26"/>
    <w:qFormat/>
    <w:uiPriority w:val="0"/>
    <w:pPr>
      <w:numPr>
        <w:ilvl w:val="3"/>
        <w:numId w:val="1"/>
      </w:numPr>
      <w:tabs>
        <w:tab w:val="left" w:pos="851"/>
        <w:tab w:val="left" w:pos="993"/>
      </w:tabs>
      <w:adjustRightInd w:val="0"/>
      <w:snapToGrid w:val="0"/>
      <w:spacing w:before="60" w:after="60" w:line="360" w:lineRule="auto"/>
      <w:ind w:firstLine="0" w:firstLineChars="0"/>
    </w:pPr>
    <w:rPr>
      <w:rFonts w:ascii="Times New Roman" w:hAnsi="Times New Roman" w:eastAsia="宋体"/>
      <w:sz w:val="24"/>
      <w:szCs w:val="28"/>
    </w:rPr>
  </w:style>
  <w:style w:type="paragraph" w:customStyle="1" w:styleId="33">
    <w:name w:val="报告表头"/>
    <w:basedOn w:val="26"/>
    <w:next w:val="26"/>
    <w:qFormat/>
    <w:uiPriority w:val="99"/>
    <w:pPr>
      <w:spacing w:before="156" w:beforeLines="50" w:line="240" w:lineRule="auto"/>
      <w:ind w:firstLine="0" w:firstLineChars="0"/>
      <w:jc w:val="center"/>
      <w:outlineLvl w:val="4"/>
    </w:pPr>
    <w:rPr>
      <w:b/>
    </w:rPr>
  </w:style>
  <w:style w:type="character" w:customStyle="1" w:styleId="34">
    <w:name w:val="页眉 字符"/>
    <w:link w:val="9"/>
    <w:qFormat/>
    <w:uiPriority w:val="99"/>
    <w:rPr>
      <w:rFonts w:ascii="Times New Roman" w:hAnsi="Times New Roman" w:eastAsia="宋体"/>
      <w:sz w:val="18"/>
      <w:szCs w:val="18"/>
    </w:rPr>
  </w:style>
  <w:style w:type="character" w:customStyle="1" w:styleId="35">
    <w:name w:val="页脚 字符"/>
    <w:link w:val="8"/>
    <w:qFormat/>
    <w:uiPriority w:val="99"/>
    <w:rPr>
      <w:rFonts w:ascii="Times New Roman" w:hAnsi="Times New Roman" w:eastAsia="宋体"/>
      <w:sz w:val="18"/>
      <w:szCs w:val="18"/>
    </w:rPr>
  </w:style>
  <w:style w:type="paragraph" w:customStyle="1" w:styleId="36">
    <w:name w:val="图名"/>
    <w:basedOn w:val="21"/>
    <w:link w:val="37"/>
    <w:qFormat/>
    <w:uiPriority w:val="0"/>
    <w:pPr>
      <w:spacing w:line="360" w:lineRule="auto"/>
    </w:pPr>
    <w:rPr>
      <w:szCs w:val="21"/>
    </w:rPr>
  </w:style>
  <w:style w:type="character" w:customStyle="1" w:styleId="37">
    <w:name w:val="图名 字符"/>
    <w:link w:val="36"/>
    <w:qFormat/>
    <w:uiPriority w:val="0"/>
    <w:rPr>
      <w:rFonts w:ascii="Times New Roman" w:hAnsi="Times New Roman" w:eastAsia="宋体"/>
      <w:b/>
      <w:kern w:val="2"/>
      <w:sz w:val="21"/>
      <w:szCs w:val="21"/>
    </w:rPr>
  </w:style>
  <w:style w:type="character" w:customStyle="1" w:styleId="38">
    <w:name w:val="正文文本缩进 2 字符"/>
    <w:link w:val="6"/>
    <w:uiPriority w:val="0"/>
    <w:rPr>
      <w:rFonts w:ascii="宋体" w:hAnsi="宋体" w:eastAsia="宋体"/>
      <w:kern w:val="2"/>
      <w:sz w:val="24"/>
    </w:rPr>
  </w:style>
  <w:style w:type="character" w:customStyle="1" w:styleId="39">
    <w:name w:val="B正文小四宋体 Char"/>
    <w:link w:val="40"/>
    <w:qFormat/>
    <w:uiPriority w:val="0"/>
    <w:rPr>
      <w:kern w:val="2"/>
      <w:sz w:val="24"/>
    </w:rPr>
  </w:style>
  <w:style w:type="paragraph" w:customStyle="1" w:styleId="40">
    <w:name w:val="B正文小四宋体"/>
    <w:basedOn w:val="1"/>
    <w:link w:val="39"/>
    <w:qFormat/>
    <w:uiPriority w:val="0"/>
    <w:pPr>
      <w:autoSpaceDE w:val="0"/>
      <w:autoSpaceDN w:val="0"/>
      <w:spacing w:line="500" w:lineRule="exact"/>
      <w:textAlignment w:val="bottom"/>
    </w:pPr>
    <w:rPr>
      <w:rFonts w:ascii="等线" w:hAnsi="等线" w:eastAsia="等线"/>
      <w:szCs w:val="20"/>
    </w:rPr>
  </w:style>
  <w:style w:type="character" w:customStyle="1" w:styleId="41">
    <w:name w:val="B表头小四黑体 Char"/>
    <w:link w:val="42"/>
    <w:uiPriority w:val="0"/>
    <w:rPr>
      <w:rFonts w:eastAsia="黑体"/>
      <w:kern w:val="2"/>
      <w:sz w:val="24"/>
    </w:rPr>
  </w:style>
  <w:style w:type="paragraph" w:customStyle="1" w:styleId="42">
    <w:name w:val="B表头小四黑体"/>
    <w:basedOn w:val="1"/>
    <w:next w:val="1"/>
    <w:link w:val="41"/>
    <w:qFormat/>
    <w:uiPriority w:val="0"/>
    <w:pPr>
      <w:autoSpaceDE w:val="0"/>
      <w:autoSpaceDN w:val="0"/>
      <w:adjustRightInd w:val="0"/>
      <w:snapToGrid w:val="0"/>
      <w:spacing w:line="500" w:lineRule="exact"/>
      <w:ind w:firstLine="0" w:firstLineChars="0"/>
      <w:jc w:val="center"/>
      <w:textAlignment w:val="bottom"/>
    </w:pPr>
    <w:rPr>
      <w:rFonts w:ascii="等线" w:hAnsi="等线" w:eastAsia="黑体"/>
      <w:szCs w:val="20"/>
    </w:rPr>
  </w:style>
  <w:style w:type="paragraph" w:customStyle="1" w:styleId="43">
    <w:name w:val="默认段落字体 Para Char Char Char Char"/>
    <w:basedOn w:val="1"/>
    <w:qFormat/>
    <w:uiPriority w:val="0"/>
    <w:pPr>
      <w:spacing w:line="240" w:lineRule="auto"/>
      <w:ind w:firstLine="0" w:firstLineChars="0"/>
    </w:pPr>
    <w:rPr>
      <w:sz w:val="21"/>
    </w:rPr>
  </w:style>
  <w:style w:type="paragraph" w:customStyle="1" w:styleId="44">
    <w:name w:val="Char Char2 Char Char Char Char"/>
    <w:basedOn w:val="1"/>
    <w:qFormat/>
    <w:uiPriority w:val="0"/>
    <w:pPr>
      <w:spacing w:line="240" w:lineRule="auto"/>
    </w:pPr>
    <w:rPr>
      <w:sz w:val="21"/>
    </w:rPr>
  </w:style>
  <w:style w:type="paragraph" w:customStyle="1" w:styleId="45">
    <w:name w:val="HCH正文"/>
    <w:link w:val="46"/>
    <w:qFormat/>
    <w:uiPriority w:val="0"/>
    <w:pPr>
      <w:spacing w:line="500" w:lineRule="exact"/>
      <w:ind w:firstLine="200" w:firstLineChars="200"/>
    </w:pPr>
    <w:rPr>
      <w:rFonts w:ascii="Times New Roman" w:hAnsi="Times New Roman" w:eastAsia="宋体" w:cs="Times New Roman"/>
      <w:kern w:val="2"/>
      <w:sz w:val="24"/>
      <w:lang w:val="en-US" w:eastAsia="zh-CN" w:bidi="ar-SA"/>
    </w:rPr>
  </w:style>
  <w:style w:type="character" w:customStyle="1" w:styleId="46">
    <w:name w:val="HCH正文 Char"/>
    <w:link w:val="45"/>
    <w:uiPriority w:val="0"/>
    <w:rPr>
      <w:rFonts w:ascii="Times New Roman" w:hAnsi="Times New Roman" w:eastAsia="宋体"/>
      <w:kern w:val="2"/>
      <w:sz w:val="24"/>
    </w:rPr>
  </w:style>
  <w:style w:type="paragraph" w:customStyle="1" w:styleId="47">
    <w:name w:val="Char"/>
    <w:basedOn w:val="1"/>
    <w:qFormat/>
    <w:uiPriority w:val="0"/>
    <w:pPr>
      <w:spacing w:line="480" w:lineRule="exact"/>
      <w:ind w:firstLine="0" w:firstLineChars="0"/>
    </w:pPr>
  </w:style>
  <w:style w:type="paragraph" w:customStyle="1" w:styleId="48">
    <w:name w:val="样式 !自定正文Alt+C + 首行缩进:  2 字符4"/>
    <w:basedOn w:val="1"/>
    <w:uiPriority w:val="0"/>
    <w:rPr>
      <w:rFonts w:cs="宋体"/>
      <w:lang w:val="zu-ZA"/>
    </w:rPr>
  </w:style>
  <w:style w:type="paragraph" w:customStyle="1" w:styleId="49">
    <w:name w:val="标题3"/>
    <w:basedOn w:val="1"/>
    <w:link w:val="50"/>
    <w:qFormat/>
    <w:uiPriority w:val="0"/>
    <w:pPr>
      <w:keepNext/>
      <w:keepLines/>
      <w:ind w:firstLine="0" w:firstLineChars="0"/>
      <w:outlineLvl w:val="2"/>
    </w:pPr>
    <w:rPr>
      <w:rFonts w:ascii="Cambria" w:hAnsi="Cambria"/>
      <w:bCs/>
      <w:szCs w:val="32"/>
    </w:rPr>
  </w:style>
  <w:style w:type="character" w:customStyle="1" w:styleId="50">
    <w:name w:val="标题3 字符"/>
    <w:basedOn w:val="13"/>
    <w:link w:val="49"/>
    <w:qFormat/>
    <w:uiPriority w:val="0"/>
    <w:rPr>
      <w:rFonts w:ascii="Cambria" w:hAnsi="Cambria" w:eastAsia="宋体"/>
      <w:bCs/>
      <w:kern w:val="2"/>
      <w:sz w:val="24"/>
      <w:szCs w:val="32"/>
    </w:rPr>
  </w:style>
  <w:style w:type="character" w:customStyle="1" w:styleId="51">
    <w:name w:val="批注框文本 字符"/>
    <w:basedOn w:val="13"/>
    <w:link w:val="7"/>
    <w:semiHidden/>
    <w:qFormat/>
    <w:uiPriority w:val="99"/>
    <w:rPr>
      <w:rFonts w:ascii="Times New Roman" w:hAnsi="Times New Roman" w:eastAsia="宋体"/>
      <w:kern w:val="2"/>
      <w:sz w:val="18"/>
      <w:szCs w:val="18"/>
    </w:rPr>
  </w:style>
  <w:style w:type="paragraph" w:styleId="52">
    <w:name w:val="List Paragraph"/>
    <w:basedOn w:val="1"/>
    <w:uiPriority w:val="99"/>
    <w:pPr>
      <w:ind w:firstLine="420"/>
    </w:pPr>
  </w:style>
  <w:style w:type="paragraph" w:customStyle="1" w:styleId="53">
    <w:name w:val="TOC Heading"/>
    <w:basedOn w:val="2"/>
    <w:next w:val="1"/>
    <w:unhideWhenUsed/>
    <w:qFormat/>
    <w:uiPriority w:val="39"/>
    <w:pPr>
      <w:widowControl/>
      <w:spacing w:before="240" w:after="0" w:line="259" w:lineRule="auto"/>
      <w:ind w:firstLine="0" w:firstLineChars="0"/>
      <w:jc w:val="left"/>
      <w:outlineLvl w:val="9"/>
    </w:pPr>
    <w:rPr>
      <w:rFonts w:asciiTheme="majorHAnsi" w:hAnsiTheme="majorHAnsi" w:eastAsiaTheme="majorEastAsia" w:cstheme="majorBidi"/>
      <w:b w:val="0"/>
      <w:bCs w:val="0"/>
      <w:color w:val="2E75B6"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jpeg"/><Relationship Id="rId12" Type="http://schemas.openxmlformats.org/officeDocument/2006/relationships/theme" Target="theme/theme1.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CD8E926-AFFA-4477-A635-CFE470C8D4B4}">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45</Pages>
  <Words>2790</Words>
  <Characters>15908</Characters>
  <Lines>132</Lines>
  <Paragraphs>37</Paragraphs>
  <TotalTime>207</TotalTime>
  <ScaleCrop>false</ScaleCrop>
  <LinksUpToDate>false</LinksUpToDate>
  <CharactersWithSpaces>18661</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2020-09-17T02:07:00Z</dcterms:created>
  <dc:creator>wsxty1</dc:creator>
  <cp:lastModifiedBy>未定义</cp:lastModifiedBy>
  <cp:lastPrinted>2020-11-30T06:28:00Z</cp:lastPrinted>
  <dcterms:modified xsi:type="dcterms:W3CDTF">2020-12-10T04:34:42Z</dcterms:modified>
  <cp:revision>43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