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关于广州市越秀区新增专项债券资金用途调整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>根据《地方政府债务信息公开办法(试行)》(财预[2018]209号)、《广东省财政厅关于调整新增债券资金用途事项的批复》（粤财债〔2022〕63号）等有关文件要求，经广东省人民政府批准，同意调整越秀区新增债券资金用途的申请，资金用途调整情况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附件：新增专项债券资金用途调整批复表（2022年第二批）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center"/>
        <w:rPr>
          <w:rFonts w:hint="default" w:ascii="Times New Roman" w:hAnsi="Times New Roman" w:eastAsia="仿宋_GB2312" w:cs="仿宋_GB231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jcxOTBjM2Q0NzEwNGZiNTA1OTAzMWMwZThjNzAifQ=="/>
  </w:docVars>
  <w:rsids>
    <w:rsidRoot w:val="00172A27"/>
    <w:rsid w:val="06E132D7"/>
    <w:rsid w:val="1313720D"/>
    <w:rsid w:val="241E0B6B"/>
    <w:rsid w:val="270A253F"/>
    <w:rsid w:val="2CC93E65"/>
    <w:rsid w:val="676B4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173</Characters>
  <Lines>0</Lines>
  <Paragraphs>0</Paragraphs>
  <TotalTime>5</TotalTime>
  <ScaleCrop>false</ScaleCrop>
  <LinksUpToDate>false</LinksUpToDate>
  <CharactersWithSpaces>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莫嘉豪</cp:lastModifiedBy>
  <dcterms:modified xsi:type="dcterms:W3CDTF">2023-04-23T03:14:28Z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7CBFF472160B43238530037B6ED9EE9F_12</vt:lpwstr>
  </property>
</Properties>
</file>