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ascii="仿宋" w:hAnsi="仿宋" w:eastAsia="仿宋"/>
          <w:color w:val="FF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财务顾问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服务机构评选方案</w:t>
      </w:r>
    </w:p>
    <w:tbl>
      <w:tblPr>
        <w:tblStyle w:val="3"/>
        <w:tblW w:w="1460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712"/>
        <w:gridCol w:w="2126"/>
        <w:gridCol w:w="6948"/>
        <w:gridCol w:w="707"/>
        <w:gridCol w:w="710"/>
        <w:gridCol w:w="707"/>
        <w:gridCol w:w="12"/>
        <w:gridCol w:w="698"/>
        <w:gridCol w:w="15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szCs w:val="24"/>
              </w:rPr>
              <w:t>入围条件</w:t>
            </w:r>
          </w:p>
        </w:tc>
        <w:tc>
          <w:tcPr>
            <w:tcW w:w="133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一、经行政部门批准依法成立并有效存续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的会计师事务所、税务师事务所、财税顾问公司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，成立时间不少于5年，在广州设有常驻服务机构；</w:t>
            </w:r>
          </w:p>
          <w:p>
            <w:pP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二、近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年未受过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行业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主管部门或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行业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协会的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处罚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或其他违规违法等不良记录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三、顾问团队熟悉财务管理、税务筹划、投融资运作、财务制度及内控体系建设。</w:t>
            </w:r>
          </w:p>
          <w:p>
            <w:pP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、顾问团队近3年具备担任国有企业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或上市公司财务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顾问实务经验，有较好的沟通协调能力，能提供及时高效的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财务顾问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服务。</w:t>
            </w:r>
          </w:p>
          <w:p>
            <w:pP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、顾问团队须熟悉国有资产监督管理相关制度和业务，熟悉公司法、经济法、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税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法等法律法规，擅长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财务管理体系建设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、与我司不存在利益（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包括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但不限于诉讼对立面等）冲突。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甄选条件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权重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具体评分项目</w:t>
            </w:r>
          </w:p>
        </w:tc>
        <w:tc>
          <w:tcPr>
            <w:tcW w:w="6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6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1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18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一、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应聘方基本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事务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所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或公司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成立时间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2.规模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事务所省内排名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4.事务所等级资质3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’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收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6.主要客户群体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1.成立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20年以上4分，15-20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分,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10-14年2分，10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年以下得1分；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事务所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执业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会计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或执业税务师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100人以上3分，50-100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分，50人以下1分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(持双证执业计算为1人）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（会计师）事务所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在广东省综合排名：排名位于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前10名得4分，排名位于11-30名得3分，排名位于31-50名得2分；排名位于50名后得1分；如为顾问公司，该项得1分；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4.（税务师）事务所等级资质为5A的得3分，4A得2分，3A及以下得1分。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事务所或公司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营收：主营业务收入1亿元以上3分，主营业务收入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5000-10000万元之间的得2分，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主营业务收入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不足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5000万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得1分（以年度审计报告为准）；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6.事务所的主要客户群体（以提供的服务合同对象作为参照评估）为省市属国有企业或大集团的得3分，主要客户群体呈多层次的（大小客户兼收）得2分，主要客户群体为中小型企业或民营企业的得1分。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6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6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8" w:firstLineChars="49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二、价格</w:t>
            </w: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总体报价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支付方式5%</w:t>
            </w:r>
          </w:p>
        </w:tc>
        <w:tc>
          <w:tcPr>
            <w:tcW w:w="6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ind w:left="0" w:leftChars="0" w:firstLine="0" w:firstLineChars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1.投标人报价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最低者得45分；报价比最低价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每增加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5000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元则减少1分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超出2万元部分，每增加3000元，则减少1分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。</w:t>
            </w:r>
          </w:p>
          <w:p>
            <w:pPr>
              <w:pStyle w:val="5"/>
              <w:widowControl/>
              <w:ind w:left="0" w:leftChars="0" w:firstLine="0" w:firstLineChars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2.(1)一次性支付不得分，分期支付得2分。</w:t>
            </w:r>
          </w:p>
          <w:p>
            <w:pPr>
              <w:pStyle w:val="5"/>
              <w:widowControl/>
              <w:ind w:left="0" w:leftChars="0" w:firstLine="240" w:firstLineChars="1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(2)专项服务给予优惠价得3分。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8" w:firstLineChars="49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三、团队主要情况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服务团队胜任度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’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项目负责人提供常年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财务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顾问服务的经验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3’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项目负责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人提供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投融资运作、节税筹划、财务制度与内控体系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专项服务的经验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’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服务团队其他业绩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’</w:t>
            </w:r>
          </w:p>
        </w:tc>
        <w:tc>
          <w:tcPr>
            <w:tcW w:w="6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1.根据服务团队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的学历、资格和经验等情况进行对比；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（1）服务团队中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有事务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所高级合伙人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、公司创始人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或者担任省、市级行业协会专业委员的，得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服务团队中注册会计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经验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（以最高执业经验者计）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含10年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）的得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10年以下的得1分。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服务团队中注册税务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经验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（以最高执业经验者计）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含10年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）的得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10年以下的得1分。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注：以上（2）（3）项服务团队成员如持双证执业，只计为一项得分。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项目负责人担任（或曾担任）国有企业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、集团公司或上市公司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的常年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财务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顾问，每个企业常年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财务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顾问得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分，最多得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分。（以常年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财务顾问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服务合同为准，同一个企业多次担任不重复计分，同一合同项下多个企业按一个企业计算）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项目负责人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曾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为国有企业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、集团公司或上市公司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的投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融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运作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节税筹划、财务制度与内控体系建设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提供专项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财务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服务，每个专项服务项目得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分，最多得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分。（以专项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财务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服务合同为准，同一个项目多次担任不重复计分，同一合同项下多个项目按一个项目计算）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服务团队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其他业绩：为国有企业提供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财务核算体系优化，财税专题培训服务，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每个专项服务项目得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分，最高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分。以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专项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服务合同为准，同一个企业多次担任不重复计分，同一合同项下多个企业按一个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专项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计算）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240" w:firstLineChars="100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240" w:firstLineChars="100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240" w:firstLineChars="100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四、服务承诺及服务方式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服务要点是否全面、相关安排是否合理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1.服务方案内容与服务要求完全符合得10分，良好得7-9分，基本符合得5-6分。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2.完成时间：需中标单位到达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我司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现场提供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财务专项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服务的，根据承诺响应时间给分，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小时内得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分，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4小时内得3分，24小时内得1分，其余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不得分；</w:t>
            </w:r>
            <w:bookmarkStart w:id="0" w:name="_GoBack"/>
            <w:bookmarkEnd w:id="0"/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24"/>
              </w:rPr>
              <w:t>备注：“以上”“以下”不含本数</w:t>
            </w:r>
          </w:p>
        </w:tc>
      </w:tr>
    </w:tbl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        </w:t>
      </w:r>
    </w:p>
    <w:p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            </w:t>
      </w:r>
      <w:r>
        <w:rPr>
          <w:rFonts w:hint="eastAsia" w:ascii="仿宋_GB2312" w:eastAsia="仿宋_GB2312"/>
          <w:sz w:val="32"/>
          <w:szCs w:val="32"/>
        </w:rPr>
        <w:t>评分人签名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sectPr>
      <w:pgSz w:w="16838" w:h="11906" w:orient="landscape"/>
      <w:pgMar w:top="1417" w:right="1213" w:bottom="1417" w:left="121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DD4412"/>
    <w:multiLevelType w:val="singleLevel"/>
    <w:tmpl w:val="D8DD441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EEF5FD1"/>
    <w:multiLevelType w:val="multilevel"/>
    <w:tmpl w:val="4EEF5FD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632E2D"/>
    <w:multiLevelType w:val="multilevel"/>
    <w:tmpl w:val="5B632E2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2929DA"/>
    <w:multiLevelType w:val="multilevel"/>
    <w:tmpl w:val="732929DA"/>
    <w:lvl w:ilvl="0" w:tentative="0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Theme="minorHAnsi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D3CEC"/>
    <w:rsid w:val="030B750A"/>
    <w:rsid w:val="04024517"/>
    <w:rsid w:val="0C435299"/>
    <w:rsid w:val="11F97C8C"/>
    <w:rsid w:val="13F72C37"/>
    <w:rsid w:val="19256E7D"/>
    <w:rsid w:val="1A3C586F"/>
    <w:rsid w:val="27320B76"/>
    <w:rsid w:val="35465521"/>
    <w:rsid w:val="43FF2D85"/>
    <w:rsid w:val="498214B7"/>
    <w:rsid w:val="4BA1790E"/>
    <w:rsid w:val="50A66316"/>
    <w:rsid w:val="50D241FF"/>
    <w:rsid w:val="56951449"/>
    <w:rsid w:val="5EF07945"/>
    <w:rsid w:val="601E386B"/>
    <w:rsid w:val="662E019A"/>
    <w:rsid w:val="66625321"/>
    <w:rsid w:val="6AAF2782"/>
    <w:rsid w:val="6C071957"/>
    <w:rsid w:val="707A55A1"/>
    <w:rsid w:val="724B071B"/>
    <w:rsid w:val="75E32AAD"/>
    <w:rsid w:val="78445654"/>
    <w:rsid w:val="7A93019C"/>
    <w:rsid w:val="7E5B7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2021-06-29T07:40:00Z</dcterms:created>
  <dc:creator>dell2</dc:creator>
  <cp:lastModifiedBy>吴冰清</cp:lastModifiedBy>
  <cp:lastPrinted>2021-08-16T01:48:00Z</cp:lastPrinted>
  <dcterms:modified xsi:type="dcterms:W3CDTF">2022-08-29T02:45:01Z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