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cs="宋体" w:asciiTheme="minorEastAsia" w:hAnsiTheme="minorEastAsia"/>
          <w:b/>
          <w:bCs/>
          <w:color w:val="000000" w:themeColor="text1"/>
          <w:kern w:val="0"/>
          <w:sz w:val="44"/>
          <w:szCs w:val="44"/>
          <w14:textFill>
            <w14:solidFill>
              <w14:schemeClr w14:val="tx1"/>
            </w14:solidFill>
          </w14:textFill>
        </w:rPr>
      </w:pPr>
      <w:r>
        <w:rPr>
          <w:rFonts w:hint="eastAsia" w:cs="宋体" w:asciiTheme="minorEastAsia" w:hAnsiTheme="minorEastAsia"/>
          <w:b/>
          <w:bCs/>
          <w:color w:val="000000" w:themeColor="text1"/>
          <w:kern w:val="0"/>
          <w:sz w:val="44"/>
          <w:szCs w:val="44"/>
          <w14:textFill>
            <w14:solidFill>
              <w14:schemeClr w14:val="tx1"/>
            </w14:solidFill>
          </w14:textFill>
        </w:rPr>
        <w:t>广州市生态</w:t>
      </w:r>
      <w:r>
        <w:rPr>
          <w:rFonts w:cs="宋体" w:asciiTheme="minorEastAsia" w:hAnsiTheme="minorEastAsia"/>
          <w:b/>
          <w:bCs/>
          <w:color w:val="000000" w:themeColor="text1"/>
          <w:kern w:val="0"/>
          <w:sz w:val="44"/>
          <w:szCs w:val="44"/>
          <w14:textFill>
            <w14:solidFill>
              <w14:schemeClr w14:val="tx1"/>
            </w14:solidFill>
          </w14:textFill>
        </w:rPr>
        <w:t>环境局越秀分局</w:t>
      </w:r>
      <w:r>
        <w:rPr>
          <w:rFonts w:hint="eastAsia" w:cs="宋体" w:asciiTheme="minorEastAsia" w:hAnsiTheme="minorEastAsia"/>
          <w:b/>
          <w:bCs/>
          <w:color w:val="000000" w:themeColor="text1"/>
          <w:kern w:val="0"/>
          <w:sz w:val="44"/>
          <w:szCs w:val="44"/>
          <w14:textFill>
            <w14:solidFill>
              <w14:schemeClr w14:val="tx1"/>
            </w14:solidFill>
          </w14:textFill>
        </w:rPr>
        <w:t>关于购买</w:t>
      </w:r>
    </w:p>
    <w:p>
      <w:pPr>
        <w:widowControl/>
        <w:spacing w:before="100" w:beforeAutospacing="1" w:after="100" w:afterAutospacing="1"/>
        <w:jc w:val="center"/>
        <w:rPr>
          <w:rFonts w:cs="宋体" w:asciiTheme="minorEastAsia" w:hAnsiTheme="minorEastAsia"/>
          <w:b/>
          <w:bCs/>
          <w:color w:val="000000" w:themeColor="text1"/>
          <w:kern w:val="0"/>
          <w:sz w:val="44"/>
          <w:szCs w:val="44"/>
          <w14:textFill>
            <w14:solidFill>
              <w14:schemeClr w14:val="tx1"/>
            </w14:solidFill>
          </w14:textFill>
        </w:rPr>
      </w:pPr>
      <w:r>
        <w:rPr>
          <w:rFonts w:hint="eastAsia" w:cs="宋体" w:asciiTheme="minorEastAsia" w:hAnsiTheme="minorEastAsia"/>
          <w:b/>
          <w:bCs/>
          <w:color w:val="000000" w:themeColor="text1"/>
          <w:kern w:val="0"/>
          <w:sz w:val="44"/>
          <w:szCs w:val="44"/>
          <w14:textFill>
            <w14:solidFill>
              <w14:schemeClr w14:val="tx1"/>
            </w14:solidFill>
          </w14:textFill>
        </w:rPr>
        <w:t>行政执法专项法律服务的公告</w:t>
      </w:r>
      <w:r>
        <w:rPr>
          <w:rFonts w:cs="宋体" w:asciiTheme="minorEastAsia" w:hAnsiTheme="minorEastAsia"/>
          <w:b/>
          <w:color w:val="000000" w:themeColor="text1"/>
          <w:kern w:val="0"/>
          <w:sz w:val="44"/>
          <w:szCs w:val="44"/>
          <w14:textFill>
            <w14:solidFill>
              <w14:schemeClr w14:val="tx1"/>
            </w14:solidFill>
          </w14:textFill>
        </w:rPr>
        <w:br w:type="textWrapping"/>
      </w:r>
    </w:p>
    <w:p>
      <w:pPr>
        <w:rPr>
          <w:rFonts w:ascii="仿宋" w:hAnsi="仿宋" w:eastAsia="仿宋"/>
          <w:sz w:val="32"/>
          <w:szCs w:val="32"/>
        </w:rPr>
      </w:pPr>
      <w:r>
        <w:rPr>
          <w:rFonts w:hint="eastAsia" w:ascii="宋体" w:hAnsi="宋体" w:eastAsia="宋体"/>
          <w:kern w:val="0"/>
        </w:rPr>
        <w:t>  </w:t>
      </w:r>
      <w:r>
        <w:rPr>
          <w:rFonts w:hint="eastAsia" w:eastAsia="仿宋"/>
          <w:sz w:val="32"/>
          <w:szCs w:val="32"/>
        </w:rPr>
        <w:t> </w:t>
      </w:r>
      <w:r>
        <w:rPr>
          <w:rFonts w:hint="eastAsia" w:ascii="仿宋" w:hAnsi="仿宋" w:eastAsia="仿宋"/>
          <w:sz w:val="32"/>
          <w:szCs w:val="32"/>
        </w:rPr>
        <w:t xml:space="preserve"> 为进一步推进依法行政工作，按照公开、公正、竞争择优的原则，广州市生态</w:t>
      </w:r>
      <w:r>
        <w:rPr>
          <w:rFonts w:ascii="仿宋" w:hAnsi="仿宋" w:eastAsia="仿宋"/>
          <w:sz w:val="32"/>
          <w:szCs w:val="32"/>
        </w:rPr>
        <w:t>环境局越秀分局</w:t>
      </w:r>
      <w:r>
        <w:rPr>
          <w:rFonts w:hint="eastAsia" w:ascii="仿宋" w:hAnsi="仿宋" w:eastAsia="仿宋"/>
          <w:sz w:val="32"/>
          <w:szCs w:val="32"/>
        </w:rPr>
        <w:t>面向社会公开选聘一所律师事务所并购买行政执法专项法律服务。现就有关事项公告如下：</w:t>
      </w:r>
    </w:p>
    <w:p>
      <w:pPr>
        <w:rPr>
          <w:rFonts w:ascii="黑体" w:hAnsi="黑体" w:eastAsia="黑体"/>
          <w:sz w:val="32"/>
          <w:szCs w:val="32"/>
        </w:rPr>
      </w:pPr>
      <w:r>
        <w:rPr>
          <w:rFonts w:hint="eastAsia" w:eastAsia="黑体"/>
          <w:sz w:val="32"/>
          <w:szCs w:val="32"/>
        </w:rPr>
        <w:t>   </w:t>
      </w:r>
      <w:r>
        <w:rPr>
          <w:rFonts w:hint="eastAsia" w:ascii="黑体" w:hAnsi="黑体" w:eastAsia="黑体"/>
          <w:sz w:val="32"/>
          <w:szCs w:val="32"/>
        </w:rPr>
        <w:t xml:space="preserve">  </w:t>
      </w:r>
      <w:r>
        <w:rPr>
          <w:rFonts w:hint="eastAsia" w:eastAsia="黑体"/>
          <w:sz w:val="32"/>
          <w:szCs w:val="32"/>
        </w:rPr>
        <w:t> </w:t>
      </w:r>
      <w:r>
        <w:rPr>
          <w:rFonts w:hint="eastAsia" w:ascii="黑体" w:hAnsi="黑体" w:eastAsia="黑体"/>
          <w:sz w:val="32"/>
          <w:szCs w:val="32"/>
        </w:rPr>
        <w:t>一、购买服务对象</w:t>
      </w:r>
    </w:p>
    <w:p>
      <w:pPr>
        <w:rPr>
          <w:rFonts w:ascii="仿宋" w:hAnsi="仿宋" w:eastAsia="仿宋"/>
          <w:sz w:val="32"/>
          <w:szCs w:val="32"/>
        </w:rPr>
      </w:pPr>
      <w:r>
        <w:rPr>
          <w:rFonts w:hint="eastAsia" w:eastAsia="仿宋"/>
          <w:sz w:val="32"/>
          <w:szCs w:val="32"/>
        </w:rPr>
        <w:t>   </w:t>
      </w:r>
      <w:r>
        <w:rPr>
          <w:rFonts w:hint="eastAsia" w:ascii="仿宋" w:hAnsi="仿宋" w:eastAsia="仿宋"/>
          <w:sz w:val="32"/>
          <w:szCs w:val="32"/>
        </w:rPr>
        <w:t xml:space="preserve">  本次购买服务对象为熟悉行政法和环境行政执法业务、实践经验丰富、服务优质的律师事务所，具体权利义务以实际签订的协议为准。</w:t>
      </w:r>
    </w:p>
    <w:p>
      <w:pPr>
        <w:rPr>
          <w:rFonts w:ascii="黑体" w:hAnsi="黑体" w:eastAsia="黑体"/>
          <w:sz w:val="32"/>
          <w:szCs w:val="32"/>
        </w:rPr>
      </w:pPr>
      <w:r>
        <w:rPr>
          <w:rFonts w:hint="eastAsia" w:eastAsia="黑体"/>
          <w:sz w:val="32"/>
          <w:szCs w:val="32"/>
        </w:rPr>
        <w:t>   </w:t>
      </w:r>
      <w:r>
        <w:rPr>
          <w:rFonts w:hint="eastAsia" w:ascii="黑体" w:hAnsi="黑体" w:eastAsia="黑体"/>
          <w:sz w:val="32"/>
          <w:szCs w:val="32"/>
        </w:rPr>
        <w:t xml:space="preserve">   二、购买服务内容</w:t>
      </w:r>
    </w:p>
    <w:p>
      <w:pPr>
        <w:rPr>
          <w:rFonts w:hint="eastAsia" w:ascii="仿宋" w:hAnsi="仿宋" w:eastAsia="仿宋"/>
          <w:sz w:val="32"/>
          <w:szCs w:val="32"/>
        </w:rPr>
      </w:pPr>
      <w:r>
        <w:rPr>
          <w:rFonts w:hint="eastAsia" w:eastAsia="仿宋"/>
          <w:sz w:val="32"/>
          <w:szCs w:val="32"/>
        </w:rPr>
        <w:t> </w:t>
      </w: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（一）对</w:t>
      </w:r>
      <w:r>
        <w:rPr>
          <w:rFonts w:hint="eastAsia" w:ascii="仿宋" w:hAnsi="仿宋" w:eastAsia="仿宋"/>
          <w:sz w:val="32"/>
          <w:szCs w:val="32"/>
          <w:lang w:eastAsia="zh-CN"/>
        </w:rPr>
        <w:t>我局</w:t>
      </w:r>
      <w:r>
        <w:rPr>
          <w:rFonts w:hint="eastAsia" w:ascii="仿宋" w:hAnsi="仿宋" w:eastAsia="仿宋"/>
          <w:sz w:val="32"/>
          <w:szCs w:val="32"/>
        </w:rPr>
        <w:t>办理环境行政处罚案件的疑难执法问题提供法律意见， 指导疑难执法案件的调査取证。</w:t>
      </w:r>
    </w:p>
    <w:p>
      <w:pPr>
        <w:ind w:firstLine="640" w:firstLineChars="200"/>
        <w:rPr>
          <w:rFonts w:hint="eastAsia" w:ascii="仿宋" w:hAnsi="仿宋" w:eastAsia="仿宋"/>
          <w:sz w:val="32"/>
          <w:szCs w:val="32"/>
        </w:rPr>
      </w:pPr>
      <w:r>
        <w:rPr>
          <w:rFonts w:hint="eastAsia" w:ascii="仿宋" w:hAnsi="仿宋" w:eastAsia="仿宋"/>
          <w:sz w:val="32"/>
          <w:szCs w:val="32"/>
        </w:rPr>
        <w:t>（二）对</w:t>
      </w:r>
      <w:r>
        <w:rPr>
          <w:rFonts w:hint="eastAsia" w:ascii="仿宋" w:hAnsi="仿宋" w:eastAsia="仿宋"/>
          <w:sz w:val="32"/>
          <w:szCs w:val="32"/>
          <w:lang w:eastAsia="zh-CN"/>
        </w:rPr>
        <w:t>我局</w:t>
      </w:r>
      <w:r>
        <w:rPr>
          <w:rFonts w:hint="eastAsia" w:ascii="仿宋" w:hAnsi="仿宋" w:eastAsia="仿宋"/>
          <w:sz w:val="32"/>
          <w:szCs w:val="32"/>
        </w:rPr>
        <w:t>已立案的行政处罚案件的调查取证程序及收集的证据逐件提供法律意见。</w:t>
      </w:r>
    </w:p>
    <w:p>
      <w:pPr>
        <w:ind w:firstLine="640" w:firstLineChars="200"/>
        <w:rPr>
          <w:rFonts w:hint="eastAsia" w:ascii="仿宋" w:hAnsi="仿宋" w:eastAsia="仿宋"/>
          <w:sz w:val="32"/>
          <w:szCs w:val="32"/>
        </w:rPr>
      </w:pPr>
      <w:r>
        <w:rPr>
          <w:rFonts w:hint="eastAsia" w:ascii="仿宋" w:hAnsi="仿宋" w:eastAsia="仿宋"/>
          <w:sz w:val="32"/>
          <w:szCs w:val="32"/>
        </w:rPr>
        <w:t>（三）对</w:t>
      </w:r>
      <w:r>
        <w:rPr>
          <w:rFonts w:hint="eastAsia" w:ascii="仿宋" w:hAnsi="仿宋" w:eastAsia="仿宋"/>
          <w:sz w:val="32"/>
          <w:szCs w:val="32"/>
          <w:lang w:eastAsia="zh-CN"/>
        </w:rPr>
        <w:t>我局</w:t>
      </w:r>
      <w:r>
        <w:rPr>
          <w:rFonts w:hint="eastAsia" w:ascii="仿宋" w:hAnsi="仿宋" w:eastAsia="仿宋"/>
          <w:sz w:val="32"/>
          <w:szCs w:val="32"/>
        </w:rPr>
        <w:t>拟作出的环境行政处罚听证告知书和事先告知文书提供法律意见，协助拟定行政处罚听证告知书和事先告知书。</w:t>
      </w:r>
    </w:p>
    <w:p>
      <w:pPr>
        <w:ind w:firstLine="640" w:firstLineChars="200"/>
        <w:rPr>
          <w:rFonts w:hint="eastAsia" w:ascii="仿宋" w:hAnsi="仿宋" w:eastAsia="仿宋"/>
          <w:sz w:val="32"/>
          <w:szCs w:val="32"/>
        </w:rPr>
      </w:pPr>
      <w:r>
        <w:rPr>
          <w:rFonts w:hint="eastAsia" w:ascii="仿宋" w:hAnsi="仿宋" w:eastAsia="仿宋"/>
          <w:sz w:val="32"/>
          <w:szCs w:val="32"/>
        </w:rPr>
        <w:t>（四）对</w:t>
      </w:r>
      <w:r>
        <w:rPr>
          <w:rFonts w:hint="eastAsia" w:ascii="仿宋" w:hAnsi="仿宋" w:eastAsia="仿宋"/>
          <w:sz w:val="32"/>
          <w:szCs w:val="32"/>
          <w:lang w:eastAsia="zh-CN"/>
        </w:rPr>
        <w:t>我局</w:t>
      </w:r>
      <w:r>
        <w:rPr>
          <w:rFonts w:hint="eastAsia" w:ascii="仿宋" w:hAnsi="仿宋" w:eastAsia="仿宋"/>
          <w:sz w:val="32"/>
          <w:szCs w:val="32"/>
        </w:rPr>
        <w:t>在环境行政处罚程序中，行政相对人提出的申辩意见、 听证意见等提供法律意见。</w:t>
      </w:r>
    </w:p>
    <w:p>
      <w:pPr>
        <w:ind w:firstLine="640" w:firstLineChars="200"/>
        <w:rPr>
          <w:rFonts w:hint="eastAsia" w:ascii="仿宋" w:hAnsi="仿宋" w:eastAsia="仿宋"/>
          <w:sz w:val="32"/>
          <w:szCs w:val="32"/>
        </w:rPr>
      </w:pPr>
      <w:r>
        <w:rPr>
          <w:rFonts w:hint="eastAsia" w:ascii="仿宋" w:hAnsi="仿宋" w:eastAsia="仿宋"/>
          <w:sz w:val="32"/>
          <w:szCs w:val="32"/>
        </w:rPr>
        <w:t>（五）对</w:t>
      </w:r>
      <w:r>
        <w:rPr>
          <w:rFonts w:hint="eastAsia" w:ascii="仿宋" w:hAnsi="仿宋" w:eastAsia="仿宋"/>
          <w:sz w:val="32"/>
          <w:szCs w:val="32"/>
          <w:lang w:eastAsia="zh-CN"/>
        </w:rPr>
        <w:t>我局</w:t>
      </w:r>
      <w:r>
        <w:rPr>
          <w:rFonts w:hint="eastAsia" w:ascii="仿宋" w:hAnsi="仿宋" w:eastAsia="仿宋"/>
          <w:sz w:val="32"/>
          <w:szCs w:val="32"/>
        </w:rPr>
        <w:t>拟作出的环境行政处罚决定书提供法律意见，协助拟定行政处罚决定书。</w:t>
      </w:r>
    </w:p>
    <w:p>
      <w:pPr>
        <w:ind w:firstLine="640" w:firstLineChars="200"/>
        <w:rPr>
          <w:rFonts w:hint="eastAsia" w:ascii="仿宋" w:hAnsi="仿宋" w:eastAsia="仿宋"/>
          <w:sz w:val="32"/>
          <w:szCs w:val="32"/>
        </w:rPr>
      </w:pPr>
      <w:r>
        <w:rPr>
          <w:rFonts w:hint="eastAsia" w:ascii="仿宋" w:hAnsi="仿宋" w:eastAsia="仿宋"/>
          <w:sz w:val="32"/>
          <w:szCs w:val="32"/>
        </w:rPr>
        <w:t>（六）对环境行政复议程序中，行政相对人提出的复议申请、证据材料等提供法律意见，协助拟定行政复议答复。</w:t>
      </w:r>
    </w:p>
    <w:p>
      <w:pPr>
        <w:ind w:firstLine="640" w:firstLineChars="200"/>
        <w:rPr>
          <w:rFonts w:hint="eastAsia" w:ascii="仿宋" w:hAnsi="仿宋" w:eastAsia="仿宋"/>
          <w:sz w:val="32"/>
          <w:szCs w:val="32"/>
        </w:rPr>
      </w:pPr>
      <w:r>
        <w:rPr>
          <w:rFonts w:hint="eastAsia" w:ascii="仿宋" w:hAnsi="仿宋" w:eastAsia="仿宋"/>
          <w:sz w:val="32"/>
          <w:szCs w:val="32"/>
        </w:rPr>
        <w:t>（七）协助准备</w:t>
      </w:r>
      <w:r>
        <w:rPr>
          <w:rFonts w:hint="eastAsia" w:ascii="仿宋" w:hAnsi="仿宋" w:eastAsia="仿宋"/>
          <w:sz w:val="32"/>
          <w:szCs w:val="32"/>
          <w:lang w:eastAsia="zh-CN"/>
        </w:rPr>
        <w:t>我局</w:t>
      </w:r>
      <w:r>
        <w:rPr>
          <w:rFonts w:hint="eastAsia" w:ascii="仿宋" w:hAnsi="仿宋" w:eastAsia="仿宋"/>
          <w:sz w:val="32"/>
          <w:szCs w:val="32"/>
        </w:rPr>
        <w:t>重大生态环境违法案件集体审议会议材料，</w:t>
      </w:r>
      <w:r>
        <w:rPr>
          <w:rFonts w:hint="eastAsia" w:ascii="仿宋" w:hAnsi="仿宋" w:eastAsia="仿宋"/>
          <w:sz w:val="32"/>
          <w:szCs w:val="32"/>
          <w:lang w:val="en-US" w:eastAsia="zh-CN"/>
        </w:rPr>
        <w:t>列席</w:t>
      </w:r>
      <w:r>
        <w:rPr>
          <w:rFonts w:hint="eastAsia" w:ascii="仿宋" w:hAnsi="仿宋" w:eastAsia="仿宋"/>
          <w:sz w:val="32"/>
          <w:szCs w:val="32"/>
        </w:rPr>
        <w:t>会议讨论</w:t>
      </w:r>
      <w:r>
        <w:rPr>
          <w:rFonts w:hint="eastAsia" w:ascii="仿宋" w:hAnsi="仿宋" w:eastAsia="仿宋"/>
          <w:sz w:val="32"/>
          <w:szCs w:val="32"/>
          <w:lang w:val="en-US" w:eastAsia="zh-CN"/>
        </w:rPr>
        <w:t>并对</w:t>
      </w:r>
      <w:r>
        <w:rPr>
          <w:rFonts w:hint="eastAsia" w:ascii="仿宋" w:hAnsi="仿宋" w:eastAsia="仿宋"/>
          <w:sz w:val="32"/>
          <w:szCs w:val="32"/>
        </w:rPr>
        <w:t>有关议题提供法律意见。</w:t>
      </w:r>
    </w:p>
    <w:p>
      <w:pPr>
        <w:ind w:firstLine="640" w:firstLineChars="200"/>
        <w:rPr>
          <w:rFonts w:hint="eastAsia" w:ascii="仿宋" w:hAnsi="仿宋" w:eastAsia="仿宋"/>
          <w:sz w:val="32"/>
          <w:szCs w:val="32"/>
        </w:rPr>
      </w:pPr>
      <w:r>
        <w:rPr>
          <w:rFonts w:hint="eastAsia" w:ascii="仿宋" w:hAnsi="仿宋" w:eastAsia="仿宋"/>
          <w:sz w:val="32"/>
          <w:szCs w:val="32"/>
        </w:rPr>
        <w:t>（八）对</w:t>
      </w:r>
      <w:r>
        <w:rPr>
          <w:rFonts w:hint="eastAsia" w:ascii="仿宋" w:hAnsi="仿宋" w:eastAsia="仿宋"/>
          <w:sz w:val="32"/>
          <w:szCs w:val="32"/>
          <w:lang w:eastAsia="zh-CN"/>
        </w:rPr>
        <w:t>我局</w:t>
      </w:r>
      <w:r>
        <w:rPr>
          <w:rFonts w:hint="eastAsia" w:ascii="仿宋" w:hAnsi="仿宋" w:eastAsia="仿宋"/>
          <w:sz w:val="32"/>
          <w:szCs w:val="32"/>
        </w:rPr>
        <w:t>拟作出的重大行政执法决定提供法制审核意见，包括但不仅限于以下行政执法决定：适用听证程序作出行政执法决定的；涉及重大公共利益的；社会关注度高的；可能造成重大社会影响的；案件情况复杂，涉及多个法律关系的；法律、法规、规章或者规范性文件规定应当进行法制审核的。行政执法决定的种类包括行政处罚、行政许可、行政强制、行政给付、行政登记、行政裁决、行政检查等。</w:t>
      </w:r>
    </w:p>
    <w:p>
      <w:pPr>
        <w:ind w:firstLine="640" w:firstLineChars="200"/>
        <w:rPr>
          <w:rFonts w:hint="eastAsia" w:ascii="仿宋" w:hAnsi="仿宋" w:eastAsia="仿宋"/>
          <w:sz w:val="32"/>
          <w:szCs w:val="32"/>
        </w:rPr>
      </w:pPr>
      <w:r>
        <w:rPr>
          <w:rFonts w:hint="eastAsia" w:ascii="仿宋" w:hAnsi="仿宋" w:eastAsia="仿宋"/>
          <w:sz w:val="32"/>
          <w:szCs w:val="32"/>
        </w:rPr>
        <w:t>（九）对越秀区排污许可发证登记工作涉及的疑难问题提供法律意见。</w:t>
      </w:r>
    </w:p>
    <w:p>
      <w:pPr>
        <w:ind w:firstLine="640" w:firstLineChars="200"/>
        <w:rPr>
          <w:rFonts w:hint="eastAsia" w:ascii="仿宋" w:hAnsi="仿宋" w:eastAsia="仿宋"/>
          <w:sz w:val="32"/>
          <w:szCs w:val="32"/>
        </w:rPr>
      </w:pPr>
      <w:r>
        <w:rPr>
          <w:rFonts w:hint="eastAsia" w:ascii="仿宋" w:hAnsi="仿宋" w:eastAsia="仿宋"/>
          <w:sz w:val="32"/>
          <w:szCs w:val="32"/>
        </w:rPr>
        <w:t>（十）参与</w:t>
      </w:r>
      <w:r>
        <w:rPr>
          <w:rFonts w:hint="eastAsia" w:ascii="仿宋" w:hAnsi="仿宋" w:eastAsia="仿宋"/>
          <w:sz w:val="32"/>
          <w:szCs w:val="32"/>
          <w:lang w:eastAsia="zh-CN"/>
        </w:rPr>
        <w:t>我局</w:t>
      </w:r>
      <w:r>
        <w:rPr>
          <w:rFonts w:hint="eastAsia" w:ascii="仿宋" w:hAnsi="仿宋" w:eastAsia="仿宋"/>
          <w:sz w:val="32"/>
          <w:szCs w:val="32"/>
        </w:rPr>
        <w:t>行政执法和处罚相关座谈会、研讨会等会议的讨论并提供法律意见。</w:t>
      </w:r>
    </w:p>
    <w:p>
      <w:pPr>
        <w:ind w:firstLine="640" w:firstLineChars="200"/>
        <w:rPr>
          <w:rFonts w:hint="eastAsia" w:ascii="仿宋" w:hAnsi="仿宋" w:eastAsia="仿宋"/>
          <w:sz w:val="32"/>
          <w:szCs w:val="32"/>
        </w:rPr>
      </w:pPr>
      <w:r>
        <w:rPr>
          <w:rFonts w:hint="eastAsia" w:ascii="仿宋" w:hAnsi="仿宋" w:eastAsia="仿宋"/>
          <w:sz w:val="32"/>
          <w:szCs w:val="32"/>
        </w:rPr>
        <w:t>（十一）根据</w:t>
      </w:r>
      <w:r>
        <w:rPr>
          <w:rFonts w:hint="eastAsia" w:ascii="仿宋" w:hAnsi="仿宋" w:eastAsia="仿宋"/>
          <w:sz w:val="32"/>
          <w:szCs w:val="32"/>
          <w:lang w:eastAsia="zh-CN"/>
        </w:rPr>
        <w:t>我局</w:t>
      </w:r>
      <w:r>
        <w:rPr>
          <w:rFonts w:hint="eastAsia" w:ascii="仿宋" w:hAnsi="仿宋" w:eastAsia="仿宋"/>
          <w:sz w:val="32"/>
          <w:szCs w:val="32"/>
        </w:rPr>
        <w:t>的要求，开展《中华人民共和国宪法》《中华人民共和国噪声污染防治法》《信访工作条例》《广东省行政处罚听证程序实施办法》《广州市生态环境保护条例》</w:t>
      </w:r>
      <w:r>
        <w:rPr>
          <w:rFonts w:hint="eastAsia" w:ascii="仿宋" w:hAnsi="仿宋" w:eastAsia="仿宋"/>
          <w:sz w:val="32"/>
          <w:szCs w:val="32"/>
          <w:lang w:eastAsia="zh-CN"/>
        </w:rPr>
        <w:t>《广州市餐饮场所污染防治规定》</w:t>
      </w:r>
      <w:r>
        <w:rPr>
          <w:rFonts w:hint="eastAsia" w:ascii="仿宋" w:hAnsi="仿宋" w:eastAsia="仿宋"/>
          <w:sz w:val="32"/>
          <w:szCs w:val="32"/>
        </w:rPr>
        <w:t>等法律法规的培训。</w:t>
      </w:r>
    </w:p>
    <w:p>
      <w:pPr>
        <w:ind w:firstLine="640" w:firstLineChars="200"/>
        <w:rPr>
          <w:rFonts w:hint="eastAsia" w:ascii="仿宋" w:hAnsi="仿宋" w:eastAsia="仿宋"/>
          <w:sz w:val="32"/>
          <w:szCs w:val="32"/>
        </w:rPr>
      </w:pPr>
      <w:r>
        <w:rPr>
          <w:rFonts w:hint="eastAsia" w:ascii="仿宋" w:hAnsi="仿宋" w:eastAsia="仿宋"/>
          <w:sz w:val="32"/>
          <w:szCs w:val="32"/>
        </w:rPr>
        <w:t>（十二）为</w:t>
      </w:r>
      <w:r>
        <w:rPr>
          <w:rFonts w:hint="eastAsia" w:ascii="仿宋" w:hAnsi="仿宋" w:eastAsia="仿宋"/>
          <w:sz w:val="32"/>
          <w:szCs w:val="32"/>
          <w:lang w:eastAsia="zh-CN"/>
        </w:rPr>
        <w:t>我局</w:t>
      </w:r>
      <w:r>
        <w:rPr>
          <w:rFonts w:hint="eastAsia" w:ascii="仿宋" w:hAnsi="仿宋" w:eastAsia="仿宋"/>
          <w:sz w:val="32"/>
          <w:szCs w:val="32"/>
        </w:rPr>
        <w:t>的</w:t>
      </w:r>
      <w:r>
        <w:rPr>
          <w:rFonts w:hint="eastAsia" w:ascii="仿宋" w:hAnsi="仿宋" w:eastAsia="仿宋"/>
          <w:sz w:val="32"/>
          <w:szCs w:val="32"/>
          <w:lang w:val="en-US" w:eastAsia="zh-CN"/>
        </w:rPr>
        <w:t>部门</w:t>
      </w:r>
      <w:r>
        <w:rPr>
          <w:rFonts w:hint="eastAsia" w:ascii="仿宋" w:hAnsi="仿宋" w:eastAsia="仿宋"/>
          <w:sz w:val="32"/>
          <w:szCs w:val="32"/>
        </w:rPr>
        <w:t>法制员提供专场培训。</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十三）</w:t>
      </w:r>
      <w:r>
        <w:rPr>
          <w:rFonts w:hint="eastAsia" w:ascii="仿宋" w:hAnsi="仿宋" w:eastAsia="仿宋"/>
          <w:sz w:val="32"/>
          <w:szCs w:val="32"/>
        </w:rPr>
        <w:t>为</w:t>
      </w:r>
      <w:r>
        <w:rPr>
          <w:rFonts w:hint="eastAsia" w:ascii="仿宋" w:hAnsi="仿宋" w:eastAsia="仿宋"/>
          <w:sz w:val="32"/>
          <w:szCs w:val="32"/>
          <w:lang w:eastAsia="zh-CN"/>
        </w:rPr>
        <w:t>我局</w:t>
      </w:r>
      <w:r>
        <w:rPr>
          <w:rFonts w:hint="eastAsia" w:ascii="仿宋" w:hAnsi="仿宋" w:eastAsia="仿宋"/>
          <w:sz w:val="32"/>
          <w:szCs w:val="32"/>
        </w:rPr>
        <w:t>指导街道行使环境行政处罚职权提供以下法律服务：</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1.</w:t>
      </w:r>
      <w:r>
        <w:rPr>
          <w:rFonts w:hint="eastAsia" w:ascii="仿宋" w:hAnsi="仿宋" w:eastAsia="仿宋"/>
          <w:sz w:val="32"/>
          <w:szCs w:val="32"/>
        </w:rPr>
        <w:t>录制不超过</w:t>
      </w:r>
      <w:r>
        <w:rPr>
          <w:rFonts w:hint="eastAsia" w:ascii="仿宋" w:hAnsi="仿宋" w:eastAsia="仿宋"/>
          <w:sz w:val="32"/>
          <w:szCs w:val="32"/>
          <w:lang w:val="en-US" w:eastAsia="zh-CN"/>
        </w:rPr>
        <w:t>12</w:t>
      </w:r>
      <w:r>
        <w:rPr>
          <w:rFonts w:hint="eastAsia" w:ascii="仿宋" w:hAnsi="仿宋" w:eastAsia="仿宋"/>
          <w:sz w:val="32"/>
          <w:szCs w:val="32"/>
        </w:rPr>
        <w:t>个培训课程，讲解越秀区生态环境领域下放</w:t>
      </w:r>
      <w:r>
        <w:rPr>
          <w:rFonts w:hint="eastAsia" w:ascii="仿宋" w:hAnsi="仿宋" w:eastAsia="仿宋"/>
          <w:sz w:val="32"/>
          <w:szCs w:val="32"/>
          <w:lang w:val="en-US" w:eastAsia="zh-CN"/>
        </w:rPr>
        <w:t>29项</w:t>
      </w:r>
      <w:r>
        <w:rPr>
          <w:rFonts w:hint="eastAsia" w:ascii="仿宋" w:hAnsi="仿宋" w:eastAsia="仿宋"/>
          <w:sz w:val="32"/>
          <w:szCs w:val="32"/>
        </w:rPr>
        <w:t>行政处罚事项</w:t>
      </w:r>
      <w:r>
        <w:rPr>
          <w:rFonts w:hint="eastAsia" w:ascii="仿宋" w:hAnsi="仿宋" w:eastAsia="仿宋"/>
          <w:sz w:val="32"/>
          <w:szCs w:val="32"/>
          <w:lang w:eastAsia="zh-CN"/>
        </w:rPr>
        <w:t>（</w:t>
      </w:r>
      <w:r>
        <w:rPr>
          <w:rFonts w:hint="eastAsia" w:ascii="仿宋" w:hAnsi="仿宋" w:eastAsia="仿宋"/>
          <w:sz w:val="32"/>
          <w:szCs w:val="32"/>
          <w:lang w:val="en-US" w:eastAsia="zh-CN"/>
        </w:rPr>
        <w:t>见《广州市人民政府关于镇街综合行政执法的公告》（穗府〔2021〕9号 ））</w:t>
      </w:r>
      <w:r>
        <w:rPr>
          <w:rFonts w:hint="eastAsia" w:ascii="仿宋" w:hAnsi="仿宋" w:eastAsia="仿宋"/>
          <w:sz w:val="32"/>
          <w:szCs w:val="32"/>
        </w:rPr>
        <w:t>的现场调查要点</w:t>
      </w:r>
      <w:r>
        <w:rPr>
          <w:rFonts w:hint="eastAsia" w:ascii="仿宋" w:hAnsi="仿宋" w:eastAsia="仿宋"/>
          <w:sz w:val="32"/>
          <w:szCs w:val="32"/>
          <w:lang w:val="en-US" w:eastAsia="zh-CN"/>
        </w:rPr>
        <w:t>和法制审核要点</w:t>
      </w:r>
      <w:r>
        <w:rPr>
          <w:rFonts w:hint="eastAsia" w:ascii="仿宋" w:hAnsi="仿宋" w:eastAsia="仿宋"/>
          <w:sz w:val="32"/>
          <w:szCs w:val="32"/>
        </w:rPr>
        <w:t>。培训课程应涵盖餐饮项目选址不当、油烟废气超标排放、未按要求安装油烟净化器、将油烟排入地下管道、使用高排放非道路移动机械、超标排放社会生活噪声、超标排放建筑施工</w:t>
      </w:r>
      <w:r>
        <w:rPr>
          <w:rFonts w:hint="eastAsia" w:ascii="仿宋" w:hAnsi="仿宋" w:eastAsia="仿宋"/>
          <w:sz w:val="32"/>
          <w:szCs w:val="32"/>
          <w:lang w:val="en-US" w:eastAsia="zh-CN"/>
        </w:rPr>
        <w:t>噪声</w:t>
      </w:r>
      <w:r>
        <w:rPr>
          <w:rFonts w:hint="eastAsia" w:ascii="仿宋" w:hAnsi="仿宋" w:eastAsia="仿宋"/>
          <w:sz w:val="32"/>
          <w:szCs w:val="32"/>
        </w:rPr>
        <w:t>、未按照规定设置危险废物识别标志、未批先建、未备案环评登记表</w:t>
      </w:r>
      <w:r>
        <w:rPr>
          <w:rFonts w:hint="eastAsia" w:ascii="仿宋" w:hAnsi="仿宋" w:eastAsia="仿宋"/>
          <w:sz w:val="32"/>
          <w:szCs w:val="32"/>
          <w:lang w:eastAsia="zh-CN"/>
        </w:rPr>
        <w:t>、</w:t>
      </w:r>
      <w:r>
        <w:rPr>
          <w:rFonts w:hint="eastAsia" w:ascii="仿宋" w:hAnsi="仿宋" w:eastAsia="仿宋"/>
          <w:sz w:val="32"/>
          <w:szCs w:val="32"/>
          <w:lang w:val="en-US" w:eastAsia="zh-CN"/>
        </w:rPr>
        <w:t>自由裁量适用典型案例等</w:t>
      </w:r>
      <w:r>
        <w:rPr>
          <w:rFonts w:hint="eastAsia" w:ascii="仿宋" w:hAnsi="仿宋" w:eastAsia="仿宋"/>
          <w:sz w:val="32"/>
          <w:szCs w:val="32"/>
        </w:rPr>
        <w:t>。该项工作应当在协议签订之日起60日内完成。</w:t>
      </w:r>
      <w:r>
        <w:rPr>
          <w:rFonts w:hint="eastAsia" w:ascii="仿宋" w:hAnsi="仿宋" w:eastAsia="仿宋"/>
          <w:sz w:val="32"/>
          <w:szCs w:val="32"/>
          <w:lang w:eastAsia="zh-CN"/>
        </w:rPr>
        <w:t>我局</w:t>
      </w:r>
      <w:r>
        <w:rPr>
          <w:rFonts w:hint="eastAsia" w:ascii="仿宋" w:hAnsi="仿宋" w:eastAsia="仿宋"/>
          <w:sz w:val="32"/>
          <w:szCs w:val="32"/>
        </w:rPr>
        <w:t>需要增加录制课程数量的，所需费用由甲乙双方另行协商。</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根据</w:t>
      </w:r>
      <w:r>
        <w:rPr>
          <w:rFonts w:hint="eastAsia" w:ascii="仿宋" w:hAnsi="仿宋" w:eastAsia="仿宋"/>
          <w:sz w:val="32"/>
          <w:szCs w:val="32"/>
          <w:lang w:eastAsia="zh-CN"/>
        </w:rPr>
        <w:t>我局</w:t>
      </w:r>
      <w:r>
        <w:rPr>
          <w:rFonts w:hint="eastAsia" w:ascii="仿宋" w:hAnsi="仿宋" w:eastAsia="仿宋"/>
          <w:sz w:val="32"/>
          <w:szCs w:val="32"/>
        </w:rPr>
        <w:t>要求，拟定越秀区常见生态环境领域下放行政处罚事项的执法文书参考模板。执法文书包括《现场检查笔录》《责令改正通知书》《行政处罚事先（听证）告知书》《行政处罚决定书》等。该项工作应当在本协议签订之日起60日内完成。</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编制越秀区常见生态环境领域下放行政处罚事项的指引。具体内容由</w:t>
      </w:r>
      <w:r>
        <w:rPr>
          <w:rFonts w:hint="eastAsia" w:ascii="仿宋" w:hAnsi="仿宋" w:eastAsia="仿宋"/>
          <w:sz w:val="32"/>
          <w:szCs w:val="32"/>
          <w:lang w:eastAsia="zh-CN"/>
        </w:rPr>
        <w:t>我局</w:t>
      </w:r>
      <w:r>
        <w:rPr>
          <w:rFonts w:hint="eastAsia" w:ascii="仿宋" w:hAnsi="仿宋" w:eastAsia="仿宋"/>
          <w:sz w:val="32"/>
          <w:szCs w:val="32"/>
        </w:rPr>
        <w:t>根据实际需要确定。</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每周</w:t>
      </w:r>
      <w:r>
        <w:rPr>
          <w:rFonts w:hint="eastAsia" w:ascii="仿宋" w:hAnsi="仿宋" w:eastAsia="仿宋"/>
          <w:sz w:val="32"/>
          <w:szCs w:val="32"/>
          <w:lang w:val="en-US" w:eastAsia="zh-CN"/>
        </w:rPr>
        <w:t>固定</w:t>
      </w:r>
      <w:r>
        <w:rPr>
          <w:rFonts w:hint="eastAsia" w:ascii="仿宋" w:hAnsi="仿宋" w:eastAsia="仿宋"/>
          <w:sz w:val="32"/>
          <w:szCs w:val="32"/>
        </w:rPr>
        <w:t>2天前往</w:t>
      </w:r>
      <w:r>
        <w:rPr>
          <w:rFonts w:hint="eastAsia" w:ascii="仿宋" w:hAnsi="仿宋" w:eastAsia="仿宋"/>
          <w:sz w:val="32"/>
          <w:szCs w:val="32"/>
          <w:lang w:eastAsia="zh-CN"/>
        </w:rPr>
        <w:t>我局</w:t>
      </w:r>
      <w:r>
        <w:rPr>
          <w:rFonts w:hint="eastAsia" w:ascii="仿宋" w:hAnsi="仿宋" w:eastAsia="仿宋"/>
          <w:sz w:val="32"/>
          <w:szCs w:val="32"/>
        </w:rPr>
        <w:t>办公地点值班，接受越秀区各街道关于生态环境领域下放行政处罚事项的咨询，并每季度对咨询、解答情况进行书面汇总。</w:t>
      </w:r>
    </w:p>
    <w:p>
      <w:pPr>
        <w:ind w:firstLine="640" w:firstLineChars="20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陪同</w:t>
      </w:r>
      <w:r>
        <w:rPr>
          <w:rFonts w:hint="eastAsia" w:ascii="仿宋" w:hAnsi="仿宋" w:eastAsia="仿宋"/>
          <w:sz w:val="32"/>
          <w:szCs w:val="32"/>
          <w:lang w:eastAsia="zh-CN"/>
        </w:rPr>
        <w:t>我局</w:t>
      </w:r>
      <w:r>
        <w:rPr>
          <w:rFonts w:hint="eastAsia" w:ascii="仿宋" w:hAnsi="仿宋" w:eastAsia="仿宋"/>
          <w:sz w:val="32"/>
          <w:szCs w:val="32"/>
        </w:rPr>
        <w:t>对生态环境领域下放行政处罚事项进行现场调研，并协助</w:t>
      </w:r>
      <w:r>
        <w:rPr>
          <w:rFonts w:hint="eastAsia" w:ascii="仿宋" w:hAnsi="仿宋" w:eastAsia="仿宋"/>
          <w:sz w:val="32"/>
          <w:szCs w:val="32"/>
          <w:lang w:eastAsia="zh-CN"/>
        </w:rPr>
        <w:t>我局</w:t>
      </w:r>
      <w:r>
        <w:rPr>
          <w:rFonts w:hint="eastAsia" w:ascii="仿宋" w:hAnsi="仿宋" w:eastAsia="仿宋"/>
          <w:sz w:val="32"/>
          <w:szCs w:val="32"/>
        </w:rPr>
        <w:t>进行案卷评查工作。</w:t>
      </w:r>
    </w:p>
    <w:p>
      <w:pPr>
        <w:ind w:firstLine="480" w:firstLineChars="150"/>
        <w:rPr>
          <w:rFonts w:ascii="黑体" w:hAnsi="黑体" w:eastAsia="黑体"/>
          <w:sz w:val="32"/>
          <w:szCs w:val="32"/>
        </w:rPr>
      </w:pPr>
      <w:r>
        <w:rPr>
          <w:rFonts w:hint="eastAsia" w:ascii="黑体" w:hAnsi="黑体" w:eastAsia="黑体"/>
          <w:sz w:val="32"/>
          <w:szCs w:val="32"/>
        </w:rPr>
        <w:t>三、报名条件</w:t>
      </w:r>
    </w:p>
    <w:p>
      <w:pPr>
        <w:rPr>
          <w:rFonts w:ascii="仿宋" w:hAnsi="仿宋" w:eastAsia="仿宋"/>
          <w:sz w:val="32"/>
          <w:szCs w:val="32"/>
        </w:rPr>
      </w:pPr>
      <w:r>
        <w:rPr>
          <w:rFonts w:hint="eastAsia" w:eastAsia="仿宋"/>
          <w:sz w:val="32"/>
          <w:szCs w:val="32"/>
        </w:rPr>
        <w:t>   </w:t>
      </w:r>
      <w:r>
        <w:rPr>
          <w:rFonts w:hint="eastAsia" w:ascii="仿宋" w:hAnsi="仿宋" w:eastAsia="仿宋"/>
          <w:sz w:val="32"/>
          <w:szCs w:val="32"/>
        </w:rPr>
        <w:t xml:space="preserve"> （一）遵守宪法和法律，拥护党的路线、方针和政策，熟悉政府工作规则。</w:t>
      </w:r>
    </w:p>
    <w:p>
      <w:pPr>
        <w:rPr>
          <w:rFonts w:ascii="仿宋" w:hAnsi="仿宋" w:eastAsia="仿宋"/>
          <w:sz w:val="32"/>
          <w:szCs w:val="32"/>
        </w:rPr>
      </w:pPr>
      <w:r>
        <w:rPr>
          <w:rFonts w:hint="eastAsia" w:eastAsia="仿宋"/>
          <w:sz w:val="32"/>
          <w:szCs w:val="32"/>
        </w:rPr>
        <w:t>   </w:t>
      </w:r>
      <w:r>
        <w:rPr>
          <w:rFonts w:hint="eastAsia" w:ascii="仿宋" w:hAnsi="仿宋" w:eastAsia="仿宋"/>
          <w:sz w:val="32"/>
          <w:szCs w:val="32"/>
        </w:rPr>
        <w:t xml:space="preserve">  （二）具有律师事务所执业证书，且连续营业3年及以上。</w:t>
      </w:r>
    </w:p>
    <w:p>
      <w:pPr>
        <w:ind w:firstLine="480" w:firstLineChars="150"/>
        <w:rPr>
          <w:rFonts w:ascii="仿宋" w:hAnsi="仿宋" w:eastAsia="仿宋"/>
          <w:sz w:val="32"/>
          <w:szCs w:val="32"/>
        </w:rPr>
      </w:pPr>
      <w:r>
        <w:rPr>
          <w:rFonts w:hint="eastAsia" w:ascii="仿宋" w:hAnsi="仿宋" w:eastAsia="仿宋"/>
          <w:sz w:val="32"/>
          <w:szCs w:val="32"/>
        </w:rPr>
        <w:t>（三）熟悉环境法、行政法等法律法规，熟悉环保执法、处罚、诉讼工作实务，且担任过生态环境部门法律顾问的事务所优先。</w:t>
      </w:r>
    </w:p>
    <w:p>
      <w:pPr>
        <w:rPr>
          <w:rFonts w:ascii="仿宋" w:hAnsi="仿宋" w:eastAsia="仿宋"/>
          <w:sz w:val="32"/>
          <w:szCs w:val="32"/>
        </w:rPr>
      </w:pPr>
      <w:r>
        <w:rPr>
          <w:rFonts w:hint="eastAsia" w:eastAsia="仿宋"/>
          <w:sz w:val="32"/>
          <w:szCs w:val="32"/>
        </w:rPr>
        <w:t>   </w:t>
      </w:r>
      <w:r>
        <w:rPr>
          <w:rFonts w:hint="eastAsia" w:ascii="仿宋" w:hAnsi="仿宋" w:eastAsia="仿宋"/>
          <w:sz w:val="32"/>
          <w:szCs w:val="32"/>
        </w:rPr>
        <w:t xml:space="preserve"> （四）指派相对</w:t>
      </w:r>
      <w:r>
        <w:rPr>
          <w:rFonts w:ascii="仿宋" w:hAnsi="仿宋" w:eastAsia="仿宋"/>
          <w:sz w:val="32"/>
          <w:szCs w:val="32"/>
        </w:rPr>
        <w:t>固定的</w:t>
      </w:r>
      <w:r>
        <w:rPr>
          <w:rFonts w:hint="eastAsia" w:ascii="仿宋" w:hAnsi="仿宋" w:eastAsia="仿宋"/>
          <w:sz w:val="32"/>
          <w:szCs w:val="32"/>
        </w:rPr>
        <w:t>1-2名具有较高的环境法专业理论水平和丰富的环境行政处罚实务工作经验的律师提供法律服务。</w:t>
      </w:r>
    </w:p>
    <w:p>
      <w:pPr>
        <w:ind w:firstLine="360"/>
        <w:rPr>
          <w:rFonts w:ascii="仿宋" w:hAnsi="仿宋" w:eastAsia="仿宋"/>
          <w:sz w:val="32"/>
          <w:szCs w:val="32"/>
        </w:rPr>
      </w:pPr>
      <w:r>
        <w:rPr>
          <w:rFonts w:hint="eastAsia" w:ascii="仿宋" w:hAnsi="仿宋" w:eastAsia="仿宋"/>
          <w:sz w:val="32"/>
          <w:szCs w:val="32"/>
        </w:rPr>
        <w:t>（五）</w:t>
      </w:r>
      <w:r>
        <w:rPr>
          <w:rFonts w:hint="eastAsia" w:eastAsia="仿宋"/>
          <w:sz w:val="32"/>
          <w:szCs w:val="32"/>
        </w:rPr>
        <w:t> 指派的律师能够提供常年驻点服务，每周固定</w:t>
      </w:r>
      <w:r>
        <w:rPr>
          <w:rFonts w:eastAsia="仿宋"/>
          <w:sz w:val="32"/>
          <w:szCs w:val="32"/>
        </w:rPr>
        <w:t>两日到</w:t>
      </w:r>
      <w:r>
        <w:rPr>
          <w:rFonts w:hint="eastAsia" w:eastAsia="仿宋"/>
          <w:sz w:val="32"/>
          <w:szCs w:val="32"/>
        </w:rPr>
        <w:t>我局实地提供法律服务。 </w:t>
      </w:r>
    </w:p>
    <w:p>
      <w:pPr>
        <w:rPr>
          <w:rFonts w:ascii="仿宋" w:hAnsi="仿宋" w:eastAsia="仿宋"/>
          <w:sz w:val="32"/>
          <w:szCs w:val="32"/>
        </w:rPr>
      </w:pPr>
      <w:r>
        <w:rPr>
          <w:rFonts w:hint="eastAsia" w:eastAsia="仿宋"/>
          <w:sz w:val="32"/>
          <w:szCs w:val="32"/>
        </w:rPr>
        <w:t>   </w:t>
      </w:r>
      <w:r>
        <w:rPr>
          <w:rFonts w:hint="eastAsia" w:ascii="仿宋" w:hAnsi="仿宋" w:eastAsia="仿宋"/>
          <w:sz w:val="32"/>
          <w:szCs w:val="32"/>
        </w:rPr>
        <w:t xml:space="preserve"> （六）指派的律师应具有3年以上执业或在司法、行政机关的从业经验。</w:t>
      </w:r>
    </w:p>
    <w:p>
      <w:pPr>
        <w:rPr>
          <w:rFonts w:ascii="仿宋" w:hAnsi="仿宋" w:eastAsia="仿宋"/>
          <w:sz w:val="32"/>
          <w:szCs w:val="32"/>
        </w:rPr>
      </w:pPr>
      <w:r>
        <w:rPr>
          <w:rFonts w:hint="eastAsia" w:eastAsia="仿宋"/>
          <w:sz w:val="32"/>
          <w:szCs w:val="32"/>
        </w:rPr>
        <w:t>   </w:t>
      </w:r>
      <w:r>
        <w:rPr>
          <w:rFonts w:hint="eastAsia" w:ascii="仿宋" w:hAnsi="仿宋" w:eastAsia="仿宋"/>
          <w:sz w:val="32"/>
          <w:szCs w:val="32"/>
        </w:rPr>
        <w:t xml:space="preserve"> （七）指派的律师应忠于宪法、遵守法律，具有良好的职业道德，具有丰富的行政处罚案件法律审查经验、应诉经验和实战技能。</w:t>
      </w:r>
    </w:p>
    <w:p>
      <w:pPr>
        <w:rPr>
          <w:rFonts w:ascii="黑体" w:hAnsi="黑体" w:eastAsia="黑体"/>
          <w:sz w:val="32"/>
          <w:szCs w:val="32"/>
        </w:rPr>
      </w:pPr>
      <w:r>
        <w:rPr>
          <w:rFonts w:hint="eastAsia" w:eastAsia="黑体"/>
          <w:sz w:val="32"/>
          <w:szCs w:val="32"/>
        </w:rPr>
        <w:t>     </w:t>
      </w:r>
      <w:r>
        <w:rPr>
          <w:rFonts w:hint="eastAsia" w:ascii="黑体" w:hAnsi="黑体" w:eastAsia="黑体"/>
          <w:sz w:val="32"/>
          <w:szCs w:val="32"/>
        </w:rPr>
        <w:t xml:space="preserve"> 四、具体程序</w:t>
      </w:r>
    </w:p>
    <w:p>
      <w:pPr>
        <w:rPr>
          <w:rFonts w:ascii="仿宋" w:hAnsi="仿宋" w:eastAsia="仿宋"/>
          <w:sz w:val="32"/>
          <w:szCs w:val="32"/>
        </w:rPr>
      </w:pPr>
      <w:r>
        <w:rPr>
          <w:rFonts w:hint="eastAsia" w:eastAsia="仿宋"/>
          <w:sz w:val="32"/>
          <w:szCs w:val="32"/>
        </w:rPr>
        <w:t>   </w:t>
      </w:r>
      <w:r>
        <w:rPr>
          <w:rFonts w:hint="eastAsia" w:ascii="仿宋" w:hAnsi="仿宋" w:eastAsia="仿宋"/>
          <w:sz w:val="32"/>
          <w:szCs w:val="32"/>
        </w:rPr>
        <w:t xml:space="preserve">  （一）报名时间：20</w:t>
      </w:r>
      <w:r>
        <w:rPr>
          <w:rFonts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w:t>
      </w:r>
      <w:r>
        <w:rPr>
          <w:rFonts w:ascii="仿宋" w:hAnsi="仿宋" w:eastAsia="仿宋"/>
          <w:sz w:val="32"/>
          <w:szCs w:val="32"/>
        </w:rPr>
        <w:t>5</w:t>
      </w:r>
      <w:r>
        <w:rPr>
          <w:rFonts w:hint="eastAsia" w:ascii="仿宋" w:hAnsi="仿宋" w:eastAsia="仿宋"/>
          <w:sz w:val="32"/>
          <w:szCs w:val="32"/>
        </w:rPr>
        <w:t>月</w:t>
      </w:r>
      <w:r>
        <w:rPr>
          <w:rFonts w:hint="eastAsia" w:ascii="仿宋" w:hAnsi="仿宋" w:eastAsia="仿宋"/>
          <w:sz w:val="32"/>
          <w:szCs w:val="32"/>
          <w:lang w:val="en-US" w:eastAsia="zh-CN"/>
        </w:rPr>
        <w:t>18</w:t>
      </w:r>
      <w:r>
        <w:rPr>
          <w:rFonts w:hint="eastAsia" w:ascii="仿宋" w:hAnsi="仿宋" w:eastAsia="仿宋"/>
          <w:sz w:val="32"/>
          <w:szCs w:val="32"/>
        </w:rPr>
        <w:t>日至20</w:t>
      </w:r>
      <w:r>
        <w:rPr>
          <w:rFonts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w:t>
      </w:r>
      <w:r>
        <w:rPr>
          <w:rFonts w:hint="eastAsia" w:ascii="仿宋" w:hAnsi="仿宋" w:eastAsia="仿宋"/>
          <w:sz w:val="32"/>
          <w:szCs w:val="32"/>
          <w:lang w:val="en-US" w:eastAsia="zh-CN"/>
        </w:rPr>
        <w:t>5</w:t>
      </w:r>
      <w:r>
        <w:rPr>
          <w:rFonts w:hint="eastAsia" w:ascii="仿宋" w:hAnsi="仿宋" w:eastAsia="仿宋"/>
          <w:sz w:val="32"/>
          <w:szCs w:val="32"/>
        </w:rPr>
        <w:t>月</w:t>
      </w:r>
      <w:r>
        <w:rPr>
          <w:rFonts w:hint="eastAsia" w:ascii="仿宋" w:hAnsi="仿宋" w:eastAsia="仿宋"/>
          <w:sz w:val="32"/>
          <w:szCs w:val="32"/>
          <w:lang w:val="en-US" w:eastAsia="zh-CN"/>
        </w:rPr>
        <w:t>26</w:t>
      </w:r>
      <w:bookmarkStart w:id="0" w:name="_GoBack"/>
      <w:bookmarkEnd w:id="0"/>
      <w:r>
        <w:rPr>
          <w:rFonts w:hint="eastAsia" w:ascii="仿宋" w:hAnsi="仿宋" w:eastAsia="仿宋"/>
          <w:sz w:val="32"/>
          <w:szCs w:val="32"/>
        </w:rPr>
        <w:t>日。</w:t>
      </w:r>
    </w:p>
    <w:p>
      <w:pPr>
        <w:rPr>
          <w:rFonts w:ascii="仿宋" w:hAnsi="仿宋" w:eastAsia="仿宋"/>
          <w:sz w:val="32"/>
          <w:szCs w:val="32"/>
        </w:rPr>
      </w:pPr>
      <w:r>
        <w:rPr>
          <w:rFonts w:hint="eastAsia" w:eastAsia="仿宋"/>
          <w:sz w:val="32"/>
          <w:szCs w:val="32"/>
        </w:rPr>
        <w:t>   </w:t>
      </w:r>
      <w:r>
        <w:rPr>
          <w:rFonts w:hint="eastAsia" w:ascii="仿宋" w:hAnsi="仿宋" w:eastAsia="仿宋"/>
          <w:sz w:val="32"/>
          <w:szCs w:val="32"/>
        </w:rPr>
        <w:t xml:space="preserve"> （二）报名方式：将报名资料快递或直接报送广州市生态</w:t>
      </w:r>
      <w:r>
        <w:rPr>
          <w:rFonts w:ascii="仿宋" w:hAnsi="仿宋" w:eastAsia="仿宋"/>
          <w:sz w:val="32"/>
          <w:szCs w:val="32"/>
        </w:rPr>
        <w:t>环境局越秀分局</w:t>
      </w:r>
      <w:r>
        <w:rPr>
          <w:rFonts w:hint="eastAsia" w:ascii="仿宋" w:hAnsi="仿宋" w:eastAsia="仿宋"/>
          <w:sz w:val="32"/>
          <w:szCs w:val="32"/>
          <w:lang w:val="en-US" w:eastAsia="zh-CN"/>
        </w:rPr>
        <w:t>监管二科</w:t>
      </w:r>
      <w:r>
        <w:rPr>
          <w:rFonts w:hint="eastAsia" w:ascii="仿宋" w:hAnsi="仿宋" w:eastAsia="仿宋"/>
          <w:sz w:val="32"/>
          <w:szCs w:val="32"/>
        </w:rPr>
        <w:t>。地址：广州市越秀区西华路第一津街50/52号二层，邮编：510170，电话：020-8107506</w:t>
      </w:r>
      <w:r>
        <w:rPr>
          <w:rFonts w:hint="eastAsia" w:ascii="仿宋" w:hAnsi="仿宋" w:eastAsia="仿宋"/>
          <w:sz w:val="32"/>
          <w:szCs w:val="32"/>
          <w:lang w:val="en-US" w:eastAsia="zh-CN"/>
        </w:rPr>
        <w:t>3</w:t>
      </w:r>
      <w:r>
        <w:rPr>
          <w:rFonts w:hint="eastAsia" w:ascii="仿宋" w:hAnsi="仿宋" w:eastAsia="仿宋"/>
          <w:sz w:val="32"/>
          <w:szCs w:val="32"/>
        </w:rPr>
        <w:t>。</w:t>
      </w:r>
    </w:p>
    <w:p>
      <w:pPr>
        <w:rPr>
          <w:rFonts w:ascii="仿宋" w:hAnsi="仿宋" w:eastAsia="仿宋"/>
          <w:sz w:val="32"/>
          <w:szCs w:val="32"/>
        </w:rPr>
      </w:pPr>
      <w:r>
        <w:rPr>
          <w:rFonts w:hint="eastAsia" w:eastAsia="仿宋"/>
          <w:sz w:val="32"/>
          <w:szCs w:val="32"/>
        </w:rPr>
        <w:t>   </w:t>
      </w:r>
      <w:r>
        <w:rPr>
          <w:rFonts w:hint="eastAsia" w:ascii="仿宋" w:hAnsi="仿宋" w:eastAsia="仿宋"/>
          <w:sz w:val="32"/>
          <w:szCs w:val="32"/>
        </w:rPr>
        <w:t xml:space="preserve">  报名资料包括：报名表、律师事务所执业证书、律师执业证书、其他证明资质及能力的材料（需提供复印件，原件备查）。</w:t>
      </w:r>
    </w:p>
    <w:p>
      <w:pPr>
        <w:ind w:firstLine="480" w:firstLineChars="150"/>
        <w:rPr>
          <w:rFonts w:ascii="仿宋" w:hAnsi="仿宋" w:eastAsia="仿宋"/>
          <w:sz w:val="32"/>
          <w:szCs w:val="32"/>
        </w:rPr>
      </w:pPr>
      <w:r>
        <w:rPr>
          <w:rFonts w:hint="eastAsia" w:ascii="仿宋" w:hAnsi="仿宋" w:eastAsia="仿宋"/>
          <w:sz w:val="32"/>
          <w:szCs w:val="32"/>
        </w:rPr>
        <w:t>（三）资格审查及综合评议。我局按照公开、公平、公正原则，对所有材料进行认真评选，综合考虑已</w:t>
      </w:r>
      <w:r>
        <w:rPr>
          <w:rFonts w:ascii="仿宋" w:hAnsi="仿宋" w:eastAsia="仿宋"/>
          <w:sz w:val="32"/>
          <w:szCs w:val="32"/>
        </w:rPr>
        <w:t>报名律师事务所的综合实力，指派律师的</w:t>
      </w:r>
      <w:r>
        <w:rPr>
          <w:rFonts w:hint="eastAsia" w:ascii="仿宋" w:hAnsi="仿宋" w:eastAsia="仿宋"/>
          <w:sz w:val="32"/>
          <w:szCs w:val="32"/>
        </w:rPr>
        <w:t>履历、专业特长，及在有关专业领域的影响及个人特长等因素，确立1家律师事务所作为法律顾问单位。</w:t>
      </w:r>
      <w:r>
        <w:rPr>
          <w:rFonts w:hint="eastAsia" w:eastAsia="仿宋"/>
          <w:sz w:val="32"/>
          <w:szCs w:val="32"/>
        </w:rPr>
        <w:t>   </w:t>
      </w:r>
    </w:p>
    <w:p>
      <w:pPr>
        <w:ind w:firstLine="480" w:firstLineChars="150"/>
        <w:rPr>
          <w:rFonts w:ascii="仿宋" w:hAnsi="仿宋" w:eastAsia="仿宋"/>
          <w:sz w:val="32"/>
          <w:szCs w:val="32"/>
        </w:rPr>
      </w:pPr>
      <w:r>
        <w:rPr>
          <w:rFonts w:hint="eastAsia" w:ascii="仿宋" w:hAnsi="仿宋" w:eastAsia="仿宋"/>
          <w:sz w:val="32"/>
          <w:szCs w:val="32"/>
        </w:rPr>
        <w:t>（四）正式聘用。通知最终确定的1家律师事务所签订协议。合同期为1年</w:t>
      </w:r>
      <w:r>
        <w:rPr>
          <w:rFonts w:ascii="仿宋" w:hAnsi="仿宋" w:eastAsia="仿宋"/>
          <w:sz w:val="32"/>
          <w:szCs w:val="32"/>
        </w:rPr>
        <w:t>。</w:t>
      </w:r>
    </w:p>
    <w:p>
      <w:pPr>
        <w:ind w:firstLine="480" w:firstLineChars="150"/>
        <w:rPr>
          <w:rFonts w:ascii="黑体" w:hAnsi="黑体" w:eastAsia="黑体"/>
          <w:sz w:val="32"/>
          <w:szCs w:val="32"/>
        </w:rPr>
      </w:pPr>
      <w:r>
        <w:rPr>
          <w:rFonts w:hint="eastAsia" w:ascii="黑体" w:hAnsi="黑体" w:eastAsia="黑体"/>
          <w:sz w:val="32"/>
          <w:szCs w:val="32"/>
        </w:rPr>
        <w:t>五、其他事项</w:t>
      </w:r>
    </w:p>
    <w:p>
      <w:pPr>
        <w:ind w:firstLine="480" w:firstLineChars="150"/>
        <w:rPr>
          <w:rFonts w:ascii="仿宋" w:hAnsi="仿宋" w:eastAsia="仿宋"/>
          <w:sz w:val="32"/>
          <w:szCs w:val="32"/>
        </w:rPr>
      </w:pPr>
      <w:r>
        <w:rPr>
          <w:rFonts w:hint="eastAsia" w:ascii="仿宋" w:hAnsi="仿宋" w:eastAsia="仿宋"/>
          <w:sz w:val="32"/>
          <w:szCs w:val="32"/>
        </w:rPr>
        <w:t>购买服务期限内的法律服务采用总价包干方式，</w:t>
      </w:r>
      <w:r>
        <w:rPr>
          <w:rFonts w:ascii="仿宋" w:hAnsi="仿宋" w:eastAsia="仿宋"/>
          <w:sz w:val="32"/>
          <w:szCs w:val="32"/>
        </w:rPr>
        <w:t>财政预算</w:t>
      </w:r>
      <w:r>
        <w:rPr>
          <w:rFonts w:hint="eastAsia" w:ascii="仿宋" w:hAnsi="仿宋" w:eastAsia="仿宋"/>
          <w:sz w:val="32"/>
          <w:szCs w:val="32"/>
        </w:rPr>
        <w:t>1</w:t>
      </w:r>
      <w:r>
        <w:rPr>
          <w:rFonts w:hint="eastAsia" w:ascii="仿宋" w:hAnsi="仿宋" w:eastAsia="仿宋"/>
          <w:sz w:val="32"/>
          <w:szCs w:val="32"/>
          <w:lang w:val="en-US" w:eastAsia="zh-CN"/>
        </w:rPr>
        <w:t>5</w:t>
      </w:r>
      <w:r>
        <w:rPr>
          <w:rFonts w:hint="eastAsia" w:ascii="仿宋" w:hAnsi="仿宋" w:eastAsia="仿宋"/>
          <w:sz w:val="32"/>
          <w:szCs w:val="32"/>
        </w:rPr>
        <w:t>万/年。</w:t>
      </w:r>
    </w:p>
    <w:p>
      <w:pPr>
        <w:ind w:firstLine="480" w:firstLineChars="150"/>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 xml:space="preserve">附件：报名表 </w:t>
      </w:r>
    </w:p>
    <w:p>
      <w:pPr>
        <w:rPr>
          <w:rFonts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 xml:space="preserve">                        广州市生态环境</w:t>
      </w:r>
      <w:r>
        <w:rPr>
          <w:rFonts w:ascii="仿宋" w:hAnsi="仿宋" w:eastAsia="仿宋"/>
          <w:sz w:val="32"/>
          <w:szCs w:val="32"/>
        </w:rPr>
        <w:t>局越秀分局</w:t>
      </w:r>
    </w:p>
    <w:p>
      <w:pPr>
        <w:spacing w:line="580" w:lineRule="exact"/>
        <w:jc w:val="center"/>
        <w:rPr>
          <w:rFonts w:ascii="仿宋" w:hAnsi="仿宋" w:eastAsia="仿宋"/>
          <w:sz w:val="32"/>
          <w:szCs w:val="32"/>
        </w:rPr>
      </w:pPr>
      <w:r>
        <w:rPr>
          <w:rFonts w:hint="eastAsia" w:ascii="仿宋" w:hAnsi="仿宋" w:eastAsia="仿宋"/>
          <w:sz w:val="32"/>
          <w:szCs w:val="32"/>
        </w:rPr>
        <w:t xml:space="preserve">                        20</w:t>
      </w:r>
      <w:r>
        <w:rPr>
          <w:rFonts w:ascii="仿宋" w:hAnsi="仿宋" w:eastAsia="仿宋"/>
          <w:sz w:val="32"/>
          <w:szCs w:val="32"/>
        </w:rPr>
        <w:t>2</w:t>
      </w:r>
      <w:r>
        <w:rPr>
          <w:rFonts w:hint="eastAsia" w:ascii="仿宋" w:hAnsi="仿宋" w:eastAsia="仿宋"/>
          <w:sz w:val="32"/>
          <w:szCs w:val="32"/>
          <w:lang w:val="en-US" w:eastAsia="zh-CN"/>
        </w:rPr>
        <w:t>2</w:t>
      </w:r>
      <w:r>
        <w:rPr>
          <w:rFonts w:hint="eastAsia" w:ascii="仿宋" w:hAnsi="仿宋" w:eastAsia="仿宋"/>
          <w:sz w:val="32"/>
          <w:szCs w:val="32"/>
        </w:rPr>
        <w:t>年</w:t>
      </w:r>
      <w:r>
        <w:rPr>
          <w:rFonts w:ascii="仿宋" w:hAnsi="仿宋" w:eastAsia="仿宋"/>
          <w:sz w:val="32"/>
          <w:szCs w:val="32"/>
        </w:rPr>
        <w:t>5</w:t>
      </w:r>
      <w:r>
        <w:rPr>
          <w:rFonts w:hint="eastAsia" w:ascii="仿宋" w:hAnsi="仿宋" w:eastAsia="仿宋"/>
          <w:sz w:val="32"/>
          <w:szCs w:val="32"/>
        </w:rPr>
        <w:t>月</w:t>
      </w:r>
      <w:r>
        <w:rPr>
          <w:rFonts w:hint="eastAsia" w:ascii="仿宋" w:hAnsi="仿宋" w:eastAsia="仿宋"/>
          <w:sz w:val="32"/>
          <w:szCs w:val="32"/>
          <w:lang w:val="en-US" w:eastAsia="zh-CN"/>
        </w:rPr>
        <w:t>17</w:t>
      </w:r>
      <w:r>
        <w:rPr>
          <w:rFonts w:hint="eastAsia" w:ascii="仿宋" w:hAnsi="仿宋" w:eastAsia="仿宋"/>
          <w:sz w:val="32"/>
          <w:szCs w:val="32"/>
        </w:rPr>
        <w:t>日</w:t>
      </w:r>
      <w:r>
        <w:rPr>
          <w:rFonts w:hint="eastAsia" w:eastAsia="仿宋"/>
          <w:sz w:val="32"/>
          <w:szCs w:val="32"/>
        </w:rPr>
        <w:t> </w:t>
      </w:r>
    </w:p>
    <w:p>
      <w:pPr>
        <w:spacing w:line="580" w:lineRule="exact"/>
        <w:jc w:val="left"/>
        <w:rPr>
          <w:rFonts w:ascii="仿宋" w:hAnsi="仿宋" w:eastAsia="仿宋"/>
          <w:sz w:val="32"/>
          <w:szCs w:val="32"/>
        </w:rPr>
      </w:pPr>
      <w:r>
        <w:rPr>
          <w:rFonts w:hint="eastAsia" w:ascii="仿宋" w:hAnsi="仿宋" w:eastAsia="仿宋"/>
          <w:sz w:val="32"/>
          <w:szCs w:val="32"/>
        </w:rPr>
        <w:t>附件</w:t>
      </w:r>
    </w:p>
    <w:p>
      <w:pPr>
        <w:spacing w:line="5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报名表</w:t>
      </w:r>
    </w:p>
    <w:tbl>
      <w:tblPr>
        <w:tblStyle w:val="6"/>
        <w:tblpPr w:leftFromText="180" w:rightFromText="180" w:vertAnchor="text" w:horzAnchor="page" w:tblpX="1087" w:tblpY="242"/>
        <w:tblOverlap w:val="never"/>
        <w:tblW w:w="10005" w:type="dxa"/>
        <w:tblInd w:w="0" w:type="dxa"/>
        <w:shd w:val="clear" w:color="auto" w:fill="FFFFFF"/>
        <w:tblLayout w:type="fixed"/>
        <w:tblCellMar>
          <w:top w:w="0" w:type="dxa"/>
          <w:left w:w="108" w:type="dxa"/>
          <w:bottom w:w="0" w:type="dxa"/>
          <w:right w:w="108" w:type="dxa"/>
        </w:tblCellMar>
      </w:tblPr>
      <w:tblGrid>
        <w:gridCol w:w="1698"/>
        <w:gridCol w:w="342"/>
        <w:gridCol w:w="1463"/>
        <w:gridCol w:w="2151"/>
        <w:gridCol w:w="1216"/>
        <w:gridCol w:w="3135"/>
      </w:tblGrid>
      <w:tr>
        <w:tblPrEx>
          <w:shd w:val="clear" w:color="auto" w:fill="FFFFFF"/>
          <w:tblCellMar>
            <w:top w:w="0" w:type="dxa"/>
            <w:left w:w="108" w:type="dxa"/>
            <w:bottom w:w="0" w:type="dxa"/>
            <w:right w:w="108" w:type="dxa"/>
          </w:tblCellMar>
        </w:tblPrEx>
        <w:trPr>
          <w:trHeight w:val="856" w:hRule="atLeast"/>
        </w:trPr>
        <w:tc>
          <w:tcPr>
            <w:tcW w:w="204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事务所名称</w:t>
            </w:r>
          </w:p>
        </w:tc>
        <w:tc>
          <w:tcPr>
            <w:tcW w:w="3614" w:type="dxa"/>
            <w:gridSpan w:val="2"/>
            <w:tcBorders>
              <w:top w:val="single" w:color="000000" w:sz="4" w:space="0"/>
              <w:left w:val="nil"/>
              <w:bottom w:val="single" w:color="000000" w:sz="4" w:space="0"/>
              <w:right w:val="single" w:color="000000" w:sz="4" w:space="0"/>
            </w:tcBorders>
            <w:shd w:val="clear" w:color="auto" w:fill="FFFFFF"/>
            <w:vAlign w:val="center"/>
          </w:tcPr>
          <w:p>
            <w:pPr>
              <w:spacing w:line="240" w:lineRule="atLeast"/>
              <w:jc w:val="center"/>
              <w:rPr>
                <w:rFonts w:ascii="仿宋_GB2312" w:hAnsi="仿宋_GB2312" w:eastAsia="仿宋_GB2312" w:cs="仿宋_GB2312"/>
                <w:sz w:val="24"/>
              </w:rPr>
            </w:pPr>
          </w:p>
        </w:tc>
        <w:tc>
          <w:tcPr>
            <w:tcW w:w="1216" w:type="dxa"/>
            <w:tcBorders>
              <w:top w:val="single" w:color="000000" w:sz="4" w:space="0"/>
              <w:left w:val="nil"/>
              <w:bottom w:val="single" w:color="000000" w:sz="4" w:space="0"/>
              <w:right w:val="single" w:color="000000" w:sz="4" w:space="0"/>
            </w:tcBorders>
            <w:shd w:val="clear" w:color="auto" w:fill="FFFFFF"/>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成立时间</w:t>
            </w:r>
          </w:p>
        </w:tc>
        <w:tc>
          <w:tcPr>
            <w:tcW w:w="3135" w:type="dxa"/>
            <w:tcBorders>
              <w:top w:val="single" w:color="000000" w:sz="4" w:space="0"/>
              <w:left w:val="nil"/>
              <w:bottom w:val="single" w:color="auto" w:sz="4" w:space="0"/>
              <w:right w:val="single" w:color="000000" w:sz="4" w:space="0"/>
            </w:tcBorders>
            <w:shd w:val="clear" w:color="auto" w:fill="FFFFFF"/>
            <w:vAlign w:val="center"/>
          </w:tcPr>
          <w:p>
            <w:pPr>
              <w:spacing w:line="240" w:lineRule="atLeast"/>
              <w:jc w:val="center"/>
              <w:rPr>
                <w:rFonts w:ascii="仿宋_GB2312" w:hAnsi="仿宋_GB2312" w:eastAsia="仿宋_GB2312" w:cs="仿宋_GB2312"/>
                <w:sz w:val="24"/>
              </w:rPr>
            </w:pPr>
          </w:p>
        </w:tc>
      </w:tr>
      <w:tr>
        <w:tblPrEx>
          <w:shd w:val="clear" w:color="auto" w:fill="FFFFFF"/>
          <w:tblCellMar>
            <w:top w:w="0" w:type="dxa"/>
            <w:left w:w="108" w:type="dxa"/>
            <w:bottom w:w="0" w:type="dxa"/>
            <w:right w:w="108" w:type="dxa"/>
          </w:tblCellMar>
        </w:tblPrEx>
        <w:trPr>
          <w:trHeight w:val="743" w:hRule="atLeast"/>
        </w:trPr>
        <w:tc>
          <w:tcPr>
            <w:tcW w:w="2040" w:type="dxa"/>
            <w:gridSpan w:val="2"/>
            <w:tcBorders>
              <w:top w:val="nil"/>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律所律师数量</w:t>
            </w:r>
          </w:p>
        </w:tc>
        <w:tc>
          <w:tcPr>
            <w:tcW w:w="3614" w:type="dxa"/>
            <w:gridSpan w:val="2"/>
            <w:tcBorders>
              <w:top w:val="nil"/>
              <w:left w:val="nil"/>
              <w:bottom w:val="single" w:color="000000" w:sz="4" w:space="0"/>
              <w:right w:val="single" w:color="000000" w:sz="4" w:space="0"/>
            </w:tcBorders>
            <w:shd w:val="clear" w:color="auto" w:fill="FFFFFF"/>
            <w:vAlign w:val="center"/>
          </w:tcPr>
          <w:p>
            <w:pPr>
              <w:spacing w:line="240" w:lineRule="atLeast"/>
              <w:jc w:val="center"/>
              <w:rPr>
                <w:rFonts w:ascii="仿宋_GB2312" w:hAnsi="仿宋_GB2312" w:eastAsia="仿宋_GB2312" w:cs="仿宋_GB2312"/>
                <w:sz w:val="24"/>
              </w:rPr>
            </w:pPr>
          </w:p>
        </w:tc>
        <w:tc>
          <w:tcPr>
            <w:tcW w:w="1216" w:type="dxa"/>
            <w:tcBorders>
              <w:top w:val="nil"/>
              <w:left w:val="nil"/>
              <w:bottom w:val="single" w:color="000000" w:sz="4" w:space="0"/>
              <w:right w:val="single" w:color="000000" w:sz="4" w:space="0"/>
            </w:tcBorders>
            <w:shd w:val="clear" w:color="auto" w:fill="FFFFFF"/>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住所地</w:t>
            </w:r>
          </w:p>
        </w:tc>
        <w:tc>
          <w:tcPr>
            <w:tcW w:w="3135" w:type="dxa"/>
            <w:tcBorders>
              <w:top w:val="nil"/>
              <w:left w:val="nil"/>
              <w:bottom w:val="single" w:color="000000" w:sz="4" w:space="0"/>
              <w:right w:val="single" w:color="auto" w:sz="4" w:space="0"/>
            </w:tcBorders>
            <w:shd w:val="clear" w:color="auto" w:fill="FFFFFF"/>
            <w:vAlign w:val="center"/>
          </w:tcPr>
          <w:p>
            <w:pPr>
              <w:spacing w:line="240" w:lineRule="atLeast"/>
              <w:jc w:val="center"/>
              <w:rPr>
                <w:rFonts w:ascii="仿宋_GB2312" w:hAnsi="仿宋_GB2312" w:eastAsia="仿宋_GB2312" w:cs="仿宋_GB2312"/>
                <w:sz w:val="24"/>
              </w:rPr>
            </w:pPr>
          </w:p>
        </w:tc>
      </w:tr>
      <w:tr>
        <w:tblPrEx>
          <w:shd w:val="clear" w:color="auto" w:fill="FFFFFF"/>
          <w:tblCellMar>
            <w:top w:w="0" w:type="dxa"/>
            <w:left w:w="108" w:type="dxa"/>
            <w:bottom w:w="0" w:type="dxa"/>
            <w:right w:w="108" w:type="dxa"/>
          </w:tblCellMar>
        </w:tblPrEx>
        <w:trPr>
          <w:trHeight w:val="537" w:hRule="atLeast"/>
        </w:trPr>
        <w:tc>
          <w:tcPr>
            <w:tcW w:w="2040" w:type="dxa"/>
            <w:gridSpan w:val="2"/>
            <w:vMerge w:val="restart"/>
            <w:tcBorders>
              <w:top w:val="nil"/>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联系方式</w:t>
            </w:r>
          </w:p>
        </w:tc>
        <w:tc>
          <w:tcPr>
            <w:tcW w:w="1463" w:type="dxa"/>
            <w:tcBorders>
              <w:top w:val="nil"/>
              <w:left w:val="nil"/>
              <w:bottom w:val="single" w:color="000000" w:sz="4" w:space="0"/>
              <w:right w:val="single" w:color="000000" w:sz="4" w:space="0"/>
            </w:tcBorders>
            <w:shd w:val="clear" w:color="auto" w:fill="FFFFFF"/>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电　  话</w:t>
            </w:r>
          </w:p>
        </w:tc>
        <w:tc>
          <w:tcPr>
            <w:tcW w:w="6502" w:type="dxa"/>
            <w:gridSpan w:val="3"/>
            <w:tcBorders>
              <w:top w:val="single" w:color="000000" w:sz="4" w:space="0"/>
              <w:left w:val="nil"/>
              <w:bottom w:val="single" w:color="000000" w:sz="4" w:space="0"/>
              <w:right w:val="single" w:color="000000" w:sz="4" w:space="0"/>
            </w:tcBorders>
            <w:shd w:val="clear" w:color="auto" w:fill="FFFFFF"/>
            <w:vAlign w:val="center"/>
          </w:tcPr>
          <w:p>
            <w:pPr>
              <w:spacing w:line="240" w:lineRule="atLeas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67" w:hRule="atLeast"/>
        </w:trPr>
        <w:tc>
          <w:tcPr>
            <w:tcW w:w="2040"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仿宋_GB2312" w:hAnsi="仿宋_GB2312" w:eastAsia="仿宋_GB2312" w:cs="仿宋_GB2312"/>
                <w:sz w:val="24"/>
              </w:rPr>
            </w:pPr>
          </w:p>
        </w:tc>
        <w:tc>
          <w:tcPr>
            <w:tcW w:w="1463" w:type="dxa"/>
            <w:tcBorders>
              <w:top w:val="nil"/>
              <w:left w:val="nil"/>
              <w:bottom w:val="single" w:color="000000" w:sz="4" w:space="0"/>
              <w:right w:val="single" w:color="000000" w:sz="4" w:space="0"/>
            </w:tcBorders>
            <w:shd w:val="clear" w:color="auto" w:fill="FFFFFF"/>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通讯地址</w:t>
            </w:r>
          </w:p>
        </w:tc>
        <w:tc>
          <w:tcPr>
            <w:tcW w:w="6502" w:type="dxa"/>
            <w:gridSpan w:val="3"/>
            <w:tcBorders>
              <w:top w:val="nil"/>
              <w:left w:val="nil"/>
              <w:bottom w:val="single" w:color="000000" w:sz="4" w:space="0"/>
              <w:right w:val="single" w:color="000000" w:sz="4" w:space="0"/>
            </w:tcBorders>
            <w:shd w:val="clear" w:color="auto" w:fill="FFFFFF"/>
            <w:vAlign w:val="center"/>
          </w:tcPr>
          <w:p>
            <w:pPr>
              <w:spacing w:line="240" w:lineRule="atLeas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67" w:hRule="atLeast"/>
        </w:trPr>
        <w:tc>
          <w:tcPr>
            <w:tcW w:w="2040" w:type="dxa"/>
            <w:gridSpan w:val="2"/>
            <w:vMerge w:val="continue"/>
            <w:tcBorders>
              <w:top w:val="nil"/>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仿宋_GB2312" w:hAnsi="仿宋_GB2312" w:eastAsia="仿宋_GB2312" w:cs="仿宋_GB2312"/>
                <w:sz w:val="24"/>
              </w:rPr>
            </w:pPr>
          </w:p>
        </w:tc>
        <w:tc>
          <w:tcPr>
            <w:tcW w:w="1463" w:type="dxa"/>
            <w:tcBorders>
              <w:top w:val="nil"/>
              <w:left w:val="nil"/>
              <w:bottom w:val="single" w:color="000000" w:sz="4" w:space="0"/>
              <w:right w:val="single" w:color="000000" w:sz="4" w:space="0"/>
            </w:tcBorders>
            <w:shd w:val="clear" w:color="auto" w:fill="FFFFFF"/>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电子邮箱</w:t>
            </w:r>
          </w:p>
        </w:tc>
        <w:tc>
          <w:tcPr>
            <w:tcW w:w="6502" w:type="dxa"/>
            <w:gridSpan w:val="3"/>
            <w:tcBorders>
              <w:top w:val="nil"/>
              <w:left w:val="nil"/>
              <w:bottom w:val="single" w:color="000000" w:sz="4" w:space="0"/>
              <w:right w:val="single" w:color="000000" w:sz="4" w:space="0"/>
            </w:tcBorders>
            <w:shd w:val="clear" w:color="auto" w:fill="FFFFFF"/>
            <w:vAlign w:val="center"/>
          </w:tcPr>
          <w:p>
            <w:pPr>
              <w:spacing w:line="240" w:lineRule="atLeas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67" w:hRule="atLeast"/>
        </w:trPr>
        <w:tc>
          <w:tcPr>
            <w:tcW w:w="2040" w:type="dxa"/>
            <w:gridSpan w:val="2"/>
            <w:vMerge w:val="restart"/>
            <w:tcBorders>
              <w:top w:val="nil"/>
              <w:left w:val="single" w:color="000000" w:sz="4" w:space="0"/>
              <w:right w:val="single" w:color="000000" w:sz="4" w:space="0"/>
            </w:tcBorders>
            <w:shd w:val="clear" w:color="auto" w:fill="FFFFFF"/>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具体联系人员</w:t>
            </w:r>
          </w:p>
        </w:tc>
        <w:tc>
          <w:tcPr>
            <w:tcW w:w="1463" w:type="dxa"/>
            <w:tcBorders>
              <w:top w:val="nil"/>
              <w:left w:val="nil"/>
              <w:bottom w:val="single" w:color="000000" w:sz="4" w:space="0"/>
              <w:right w:val="single" w:color="000000" w:sz="4" w:space="0"/>
            </w:tcBorders>
            <w:shd w:val="clear" w:color="auto" w:fill="FFFFFF"/>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6502" w:type="dxa"/>
            <w:gridSpan w:val="3"/>
            <w:tcBorders>
              <w:top w:val="nil"/>
              <w:left w:val="nil"/>
              <w:bottom w:val="single" w:color="000000" w:sz="4" w:space="0"/>
              <w:right w:val="single" w:color="000000" w:sz="4" w:space="0"/>
            </w:tcBorders>
            <w:shd w:val="clear" w:color="auto" w:fill="FFFFFF"/>
            <w:vAlign w:val="center"/>
          </w:tcPr>
          <w:p>
            <w:pPr>
              <w:spacing w:line="240" w:lineRule="atLeas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67" w:hRule="atLeast"/>
        </w:trPr>
        <w:tc>
          <w:tcPr>
            <w:tcW w:w="2040" w:type="dxa"/>
            <w:gridSpan w:val="2"/>
            <w:vMerge w:val="continue"/>
            <w:tcBorders>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仿宋_GB2312" w:hAnsi="仿宋_GB2312" w:eastAsia="仿宋_GB2312" w:cs="仿宋_GB2312"/>
                <w:sz w:val="24"/>
              </w:rPr>
            </w:pPr>
          </w:p>
        </w:tc>
        <w:tc>
          <w:tcPr>
            <w:tcW w:w="1463" w:type="dxa"/>
            <w:tcBorders>
              <w:top w:val="nil"/>
              <w:left w:val="nil"/>
              <w:bottom w:val="single" w:color="000000" w:sz="4" w:space="0"/>
              <w:right w:val="single" w:color="000000" w:sz="4" w:space="0"/>
            </w:tcBorders>
            <w:shd w:val="clear" w:color="auto" w:fill="FFFFFF"/>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联系方式</w:t>
            </w:r>
          </w:p>
        </w:tc>
        <w:tc>
          <w:tcPr>
            <w:tcW w:w="6502" w:type="dxa"/>
            <w:gridSpan w:val="3"/>
            <w:tcBorders>
              <w:top w:val="nil"/>
              <w:left w:val="nil"/>
              <w:bottom w:val="single" w:color="000000" w:sz="4" w:space="0"/>
              <w:right w:val="single" w:color="000000" w:sz="4" w:space="0"/>
            </w:tcBorders>
            <w:shd w:val="clear" w:color="auto" w:fill="FFFFFF"/>
            <w:vAlign w:val="center"/>
          </w:tcPr>
          <w:p>
            <w:pPr>
              <w:spacing w:line="240" w:lineRule="atLeast"/>
              <w:jc w:val="center"/>
              <w:rPr>
                <w:rFonts w:ascii="仿宋_GB2312" w:hAnsi="仿宋_GB2312" w:eastAsia="仿宋_GB2312" w:cs="仿宋_GB2312"/>
                <w:sz w:val="24"/>
              </w:rPr>
            </w:pPr>
          </w:p>
        </w:tc>
      </w:tr>
      <w:tr>
        <w:tblPrEx>
          <w:tblCellMar>
            <w:top w:w="0" w:type="dxa"/>
            <w:left w:w="108" w:type="dxa"/>
            <w:bottom w:w="0" w:type="dxa"/>
            <w:right w:w="108" w:type="dxa"/>
          </w:tblCellMar>
        </w:tblPrEx>
        <w:trPr>
          <w:trHeight w:val="582" w:hRule="atLeast"/>
        </w:trPr>
        <w:tc>
          <w:tcPr>
            <w:tcW w:w="10005" w:type="dxa"/>
            <w:gridSpan w:val="6"/>
            <w:tcBorders>
              <w:top w:val="nil"/>
              <w:left w:val="single" w:color="000000" w:sz="4" w:space="0"/>
              <w:bottom w:val="single" w:color="auto" w:sz="4" w:space="0"/>
              <w:right w:val="single" w:color="auto" w:sz="4" w:space="0"/>
            </w:tcBorders>
            <w:shd w:val="clear" w:color="auto" w:fill="FFFFFF"/>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指派律师基本情况</w:t>
            </w:r>
          </w:p>
        </w:tc>
      </w:tr>
      <w:tr>
        <w:tblPrEx>
          <w:tblCellMar>
            <w:top w:w="0" w:type="dxa"/>
            <w:left w:w="108" w:type="dxa"/>
            <w:bottom w:w="0" w:type="dxa"/>
            <w:right w:w="108" w:type="dxa"/>
          </w:tblCellMar>
        </w:tblPrEx>
        <w:trPr>
          <w:trHeight w:val="1260" w:hRule="atLeast"/>
        </w:trPr>
        <w:tc>
          <w:tcPr>
            <w:tcW w:w="1698" w:type="dxa"/>
            <w:tcBorders>
              <w:top w:val="nil"/>
              <w:left w:val="single" w:color="000000" w:sz="4" w:space="0"/>
              <w:right w:val="single" w:color="000000" w:sz="4" w:space="0"/>
            </w:tcBorders>
            <w:shd w:val="clear" w:color="auto" w:fill="FFFFFF"/>
            <w:vAlign w:val="center"/>
          </w:tcPr>
          <w:p>
            <w:pPr>
              <w:spacing w:line="240" w:lineRule="atLeast"/>
              <w:rPr>
                <w:rFonts w:ascii="仿宋_GB2312" w:hAnsi="仿宋_GB2312" w:eastAsia="仿宋_GB2312" w:cs="仿宋_GB2312"/>
                <w:sz w:val="24"/>
              </w:rPr>
            </w:pPr>
          </w:p>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律师1</w:t>
            </w:r>
          </w:p>
          <w:p>
            <w:pPr>
              <w:spacing w:line="240" w:lineRule="atLeast"/>
              <w:jc w:val="center"/>
              <w:rPr>
                <w:rFonts w:ascii="仿宋_GB2312" w:hAnsi="仿宋_GB2312" w:eastAsia="仿宋_GB2312" w:cs="仿宋_GB2312"/>
                <w:sz w:val="24"/>
              </w:rPr>
            </w:pPr>
          </w:p>
        </w:tc>
        <w:tc>
          <w:tcPr>
            <w:tcW w:w="8307" w:type="dxa"/>
            <w:gridSpan w:val="5"/>
            <w:vMerge w:val="restart"/>
            <w:tcBorders>
              <w:top w:val="nil"/>
              <w:left w:val="nil"/>
              <w:right w:val="single" w:color="auto" w:sz="4" w:space="0"/>
            </w:tcBorders>
            <w:shd w:val="clear" w:color="auto" w:fill="FFFFFF"/>
            <w:vAlign w:val="center"/>
          </w:tcPr>
          <w:p>
            <w:pPr>
              <w:spacing w:line="240" w:lineRule="atLeast"/>
              <w:rPr>
                <w:rFonts w:ascii="仿宋_GB2312" w:hAnsi="仿宋_GB2312" w:eastAsia="仿宋_GB2312" w:cs="仿宋_GB2312"/>
                <w:sz w:val="24"/>
              </w:rPr>
            </w:pPr>
            <w:r>
              <w:rPr>
                <w:rFonts w:hint="eastAsia" w:ascii="仿宋_GB2312" w:hAnsi="仿宋_GB2312" w:eastAsia="仿宋_GB2312" w:cs="仿宋_GB2312"/>
                <w:sz w:val="24"/>
              </w:rPr>
              <w:t>（需填写律师团队律师的基本情况，包括姓名，性别，毕业院校，学历，学位，专业，政治面貌，擅长领域，工作简历，实务经验、获奖情况等。）</w:t>
            </w:r>
          </w:p>
        </w:tc>
      </w:tr>
      <w:tr>
        <w:tblPrEx>
          <w:tblCellMar>
            <w:top w:w="0" w:type="dxa"/>
            <w:left w:w="108" w:type="dxa"/>
            <w:bottom w:w="0" w:type="dxa"/>
            <w:right w:w="108" w:type="dxa"/>
          </w:tblCellMar>
        </w:tblPrEx>
        <w:trPr>
          <w:trHeight w:val="80" w:hRule="atLeast"/>
        </w:trPr>
        <w:tc>
          <w:tcPr>
            <w:tcW w:w="1698" w:type="dxa"/>
            <w:tcBorders>
              <w:top w:val="nil"/>
              <w:left w:val="single" w:color="000000" w:sz="4" w:space="0"/>
              <w:bottom w:val="single" w:color="000000" w:sz="4" w:space="0"/>
              <w:right w:val="single" w:color="000000" w:sz="4" w:space="0"/>
            </w:tcBorders>
            <w:shd w:val="clear" w:color="auto" w:fill="FFFFFF"/>
            <w:vAlign w:val="center"/>
          </w:tcPr>
          <w:p>
            <w:pPr>
              <w:spacing w:line="240" w:lineRule="atLeast"/>
              <w:rPr>
                <w:rFonts w:ascii="仿宋_GB2312" w:hAnsi="仿宋_GB2312" w:eastAsia="仿宋_GB2312" w:cs="仿宋_GB2312"/>
                <w:sz w:val="24"/>
              </w:rPr>
            </w:pPr>
          </w:p>
        </w:tc>
        <w:tc>
          <w:tcPr>
            <w:tcW w:w="8307" w:type="dxa"/>
            <w:gridSpan w:val="5"/>
            <w:vMerge w:val="continue"/>
            <w:tcBorders>
              <w:left w:val="nil"/>
              <w:right w:val="single" w:color="auto" w:sz="4" w:space="0"/>
            </w:tcBorders>
            <w:shd w:val="clear" w:color="auto" w:fill="FFFFFF"/>
            <w:vAlign w:val="center"/>
          </w:tcPr>
          <w:p>
            <w:pPr>
              <w:spacing w:line="240" w:lineRule="atLeast"/>
              <w:rPr>
                <w:rFonts w:ascii="仿宋_GB2312" w:hAnsi="仿宋_GB2312" w:eastAsia="仿宋_GB2312" w:cs="仿宋_GB2312"/>
                <w:sz w:val="24"/>
              </w:rPr>
            </w:pPr>
          </w:p>
        </w:tc>
      </w:tr>
      <w:tr>
        <w:tblPrEx>
          <w:tblCellMar>
            <w:top w:w="0" w:type="dxa"/>
            <w:left w:w="108" w:type="dxa"/>
            <w:bottom w:w="0" w:type="dxa"/>
            <w:right w:w="108" w:type="dxa"/>
          </w:tblCellMar>
        </w:tblPrEx>
        <w:trPr>
          <w:trHeight w:val="1140" w:hRule="atLeast"/>
        </w:trPr>
        <w:tc>
          <w:tcPr>
            <w:tcW w:w="1698" w:type="dxa"/>
            <w:tcBorders>
              <w:top w:val="nil"/>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仿宋" w:hAnsi="仿宋" w:eastAsia="仿宋"/>
                <w:sz w:val="32"/>
                <w:szCs w:val="32"/>
              </w:rPr>
            </w:pPr>
            <w:r>
              <w:rPr>
                <w:rFonts w:hint="eastAsia" w:ascii="仿宋_GB2312" w:hAnsi="仿宋_GB2312" w:eastAsia="仿宋_GB2312" w:cs="仿宋_GB2312"/>
                <w:sz w:val="24"/>
              </w:rPr>
              <w:t>律师2</w:t>
            </w:r>
          </w:p>
          <w:p>
            <w:pPr>
              <w:spacing w:line="240" w:lineRule="atLeast"/>
              <w:jc w:val="center"/>
              <w:rPr>
                <w:rFonts w:ascii="仿宋_GB2312" w:hAnsi="仿宋_GB2312" w:eastAsia="仿宋_GB2312" w:cs="仿宋_GB2312"/>
                <w:sz w:val="24"/>
              </w:rPr>
            </w:pPr>
            <w:r>
              <w:rPr>
                <w:rFonts w:ascii="Arial" w:hAnsi="Arial" w:cs="Arial"/>
                <w:color w:val="333333"/>
                <w:sz w:val="20"/>
                <w:szCs w:val="20"/>
                <w:shd w:val="clear" w:color="auto" w:fill="FFFFFF"/>
              </w:rPr>
              <w:t>········</w:t>
            </w:r>
          </w:p>
        </w:tc>
        <w:tc>
          <w:tcPr>
            <w:tcW w:w="8307" w:type="dxa"/>
            <w:gridSpan w:val="5"/>
            <w:vMerge w:val="continue"/>
            <w:tcBorders>
              <w:left w:val="nil"/>
              <w:bottom w:val="single" w:color="auto" w:sz="4" w:space="0"/>
              <w:right w:val="single" w:color="auto" w:sz="4" w:space="0"/>
            </w:tcBorders>
            <w:shd w:val="clear" w:color="auto" w:fill="FFFFFF"/>
            <w:vAlign w:val="center"/>
          </w:tcPr>
          <w:p>
            <w:pPr>
              <w:spacing w:line="240" w:lineRule="atLeast"/>
              <w:rPr>
                <w:rFonts w:ascii="仿宋_GB2312" w:hAnsi="仿宋_GB2312" w:eastAsia="仿宋_GB2312" w:cs="仿宋_GB2312"/>
                <w:sz w:val="24"/>
              </w:rPr>
            </w:pPr>
          </w:p>
        </w:tc>
      </w:tr>
      <w:tr>
        <w:tblPrEx>
          <w:tblCellMar>
            <w:top w:w="0" w:type="dxa"/>
            <w:left w:w="108" w:type="dxa"/>
            <w:bottom w:w="0" w:type="dxa"/>
            <w:right w:w="108" w:type="dxa"/>
          </w:tblCellMar>
        </w:tblPrEx>
        <w:trPr>
          <w:trHeight w:val="105" w:hRule="atLeast"/>
        </w:trPr>
        <w:tc>
          <w:tcPr>
            <w:tcW w:w="1698" w:type="dxa"/>
            <w:tcBorders>
              <w:top w:val="single" w:color="auto" w:sz="4" w:space="0"/>
              <w:left w:val="single" w:color="000000" w:sz="4" w:space="0"/>
              <w:right w:val="single" w:color="000000" w:sz="4" w:space="0"/>
            </w:tcBorders>
            <w:shd w:val="clear" w:color="auto" w:fill="FFFFFF"/>
            <w:vAlign w:val="center"/>
          </w:tcPr>
          <w:p>
            <w:pPr>
              <w:spacing w:line="240" w:lineRule="atLeast"/>
              <w:jc w:val="center"/>
              <w:rPr>
                <w:rFonts w:ascii="仿宋_GB2312" w:hAnsi="仿宋_GB2312" w:eastAsia="仿宋_GB2312" w:cs="仿宋_GB2312"/>
                <w:sz w:val="24"/>
              </w:rPr>
            </w:pPr>
          </w:p>
        </w:tc>
        <w:tc>
          <w:tcPr>
            <w:tcW w:w="8307" w:type="dxa"/>
            <w:gridSpan w:val="5"/>
            <w:tcBorders>
              <w:top w:val="single" w:color="auto" w:sz="4" w:space="0"/>
              <w:left w:val="nil"/>
              <w:right w:val="single" w:color="auto" w:sz="4" w:space="0"/>
            </w:tcBorders>
            <w:shd w:val="clear" w:color="auto" w:fill="FFFFFF"/>
            <w:vAlign w:val="center"/>
          </w:tcPr>
          <w:p>
            <w:pPr>
              <w:spacing w:line="240" w:lineRule="atLeast"/>
              <w:rPr>
                <w:rFonts w:ascii="仿宋_GB2312" w:hAnsi="仿宋_GB2312" w:eastAsia="仿宋_GB2312" w:cs="仿宋_GB2312"/>
                <w:sz w:val="24"/>
              </w:rPr>
            </w:pPr>
          </w:p>
        </w:tc>
      </w:tr>
      <w:tr>
        <w:tblPrEx>
          <w:shd w:val="clear" w:color="auto" w:fill="FFFFFF"/>
          <w:tblCellMar>
            <w:top w:w="0" w:type="dxa"/>
            <w:left w:w="108" w:type="dxa"/>
            <w:bottom w:w="0" w:type="dxa"/>
            <w:right w:w="108" w:type="dxa"/>
          </w:tblCellMar>
        </w:tblPrEx>
        <w:trPr>
          <w:trHeight w:val="3092" w:hRule="atLeast"/>
        </w:trPr>
        <w:tc>
          <w:tcPr>
            <w:tcW w:w="1698" w:type="dxa"/>
            <w:tcBorders>
              <w:top w:val="nil"/>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事务所获</w:t>
            </w:r>
          </w:p>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表彰情况</w:t>
            </w:r>
          </w:p>
        </w:tc>
        <w:tc>
          <w:tcPr>
            <w:tcW w:w="8307" w:type="dxa"/>
            <w:gridSpan w:val="5"/>
            <w:tcBorders>
              <w:top w:val="nil"/>
              <w:left w:val="nil"/>
              <w:bottom w:val="single" w:color="000000" w:sz="4" w:space="0"/>
              <w:right w:val="single" w:color="000000" w:sz="4" w:space="0"/>
            </w:tcBorders>
            <w:shd w:val="clear" w:color="auto" w:fill="FFFFFF"/>
            <w:vAlign w:val="center"/>
          </w:tcPr>
          <w:p>
            <w:pPr>
              <w:spacing w:line="240" w:lineRule="atLeast"/>
              <w:rPr>
                <w:rFonts w:ascii="仿宋_GB2312" w:hAnsi="仿宋_GB2312" w:eastAsia="仿宋_GB2312" w:cs="仿宋_GB2312"/>
                <w:sz w:val="24"/>
              </w:rPr>
            </w:pPr>
          </w:p>
          <w:p>
            <w:pPr>
              <w:spacing w:line="240" w:lineRule="atLeast"/>
              <w:rPr>
                <w:rFonts w:ascii="仿宋_GB2312" w:hAnsi="仿宋_GB2312" w:eastAsia="仿宋_GB2312" w:cs="仿宋_GB2312"/>
                <w:sz w:val="24"/>
              </w:rPr>
            </w:pPr>
          </w:p>
          <w:p>
            <w:pPr>
              <w:spacing w:line="240" w:lineRule="atLeast"/>
              <w:rPr>
                <w:rFonts w:ascii="仿宋_GB2312" w:hAnsi="仿宋_GB2312" w:eastAsia="仿宋_GB2312" w:cs="仿宋_GB2312"/>
                <w:sz w:val="24"/>
              </w:rPr>
            </w:pPr>
          </w:p>
          <w:p>
            <w:pPr>
              <w:spacing w:line="240" w:lineRule="atLeast"/>
              <w:rPr>
                <w:rFonts w:ascii="仿宋_GB2312" w:hAnsi="仿宋_GB2312" w:eastAsia="仿宋_GB2312" w:cs="仿宋_GB2312"/>
                <w:sz w:val="24"/>
              </w:rPr>
            </w:pPr>
          </w:p>
          <w:p>
            <w:pPr>
              <w:spacing w:line="240" w:lineRule="atLeast"/>
              <w:rPr>
                <w:rFonts w:ascii="仿宋_GB2312" w:hAnsi="仿宋_GB2312" w:eastAsia="仿宋_GB2312" w:cs="仿宋_GB2312"/>
                <w:sz w:val="24"/>
              </w:rPr>
            </w:pPr>
          </w:p>
          <w:p>
            <w:pPr>
              <w:spacing w:line="240" w:lineRule="atLeast"/>
              <w:rPr>
                <w:rFonts w:ascii="仿宋_GB2312" w:hAnsi="仿宋_GB2312" w:eastAsia="仿宋_GB2312" w:cs="仿宋_GB2312"/>
                <w:sz w:val="24"/>
              </w:rPr>
            </w:pPr>
          </w:p>
          <w:p>
            <w:pPr>
              <w:spacing w:line="240" w:lineRule="atLeast"/>
              <w:rPr>
                <w:rFonts w:ascii="仿宋_GB2312" w:hAnsi="仿宋_GB2312" w:eastAsia="仿宋_GB2312" w:cs="仿宋_GB2312"/>
                <w:sz w:val="24"/>
              </w:rPr>
            </w:pPr>
          </w:p>
          <w:p>
            <w:pPr>
              <w:spacing w:line="240" w:lineRule="atLeast"/>
              <w:rPr>
                <w:rFonts w:ascii="仿宋_GB2312" w:hAnsi="仿宋_GB2312" w:eastAsia="仿宋_GB2312" w:cs="仿宋_GB2312"/>
                <w:sz w:val="24"/>
              </w:rPr>
            </w:pPr>
          </w:p>
          <w:p>
            <w:pPr>
              <w:spacing w:line="240" w:lineRule="atLeast"/>
              <w:rPr>
                <w:rFonts w:ascii="仿宋_GB2312" w:hAnsi="仿宋_GB2312" w:eastAsia="仿宋_GB2312" w:cs="仿宋_GB2312"/>
                <w:sz w:val="24"/>
              </w:rPr>
            </w:pPr>
          </w:p>
          <w:p>
            <w:pPr>
              <w:spacing w:line="240" w:lineRule="atLeast"/>
              <w:rPr>
                <w:rFonts w:ascii="仿宋_GB2312" w:hAnsi="仿宋_GB2312" w:eastAsia="仿宋_GB2312" w:cs="仿宋_GB2312"/>
                <w:sz w:val="24"/>
              </w:rPr>
            </w:pPr>
          </w:p>
        </w:tc>
      </w:tr>
      <w:tr>
        <w:tblPrEx>
          <w:tblCellMar>
            <w:top w:w="0" w:type="dxa"/>
            <w:left w:w="108" w:type="dxa"/>
            <w:bottom w:w="0" w:type="dxa"/>
            <w:right w:w="108" w:type="dxa"/>
          </w:tblCellMar>
        </w:tblPrEx>
        <w:trPr>
          <w:trHeight w:val="5278" w:hRule="atLeast"/>
        </w:trPr>
        <w:tc>
          <w:tcPr>
            <w:tcW w:w="1698"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参与行政处罚案件法律审查、行政复议、行政诉讼的情况</w:t>
            </w:r>
          </w:p>
        </w:tc>
        <w:tc>
          <w:tcPr>
            <w:tcW w:w="8307" w:type="dxa"/>
            <w:gridSpan w:val="5"/>
            <w:tcBorders>
              <w:top w:val="single" w:color="auto" w:sz="4" w:space="0"/>
              <w:left w:val="nil"/>
              <w:bottom w:val="single" w:color="000000" w:sz="4" w:space="0"/>
              <w:right w:val="single" w:color="000000" w:sz="4" w:space="0"/>
            </w:tcBorders>
            <w:shd w:val="clear" w:color="auto" w:fill="FFFFFF"/>
            <w:vAlign w:val="center"/>
          </w:tcPr>
          <w:p>
            <w:pPr>
              <w:spacing w:line="240" w:lineRule="atLeast"/>
              <w:rPr>
                <w:rFonts w:ascii="仿宋_GB2312" w:hAnsi="仿宋_GB2312" w:eastAsia="仿宋_GB2312" w:cs="仿宋_GB2312"/>
                <w:sz w:val="24"/>
              </w:rPr>
            </w:pPr>
          </w:p>
        </w:tc>
      </w:tr>
      <w:tr>
        <w:tblPrEx>
          <w:tblCellMar>
            <w:top w:w="0" w:type="dxa"/>
            <w:left w:w="108" w:type="dxa"/>
            <w:bottom w:w="0" w:type="dxa"/>
            <w:right w:w="108" w:type="dxa"/>
          </w:tblCellMar>
        </w:tblPrEx>
        <w:trPr>
          <w:trHeight w:val="2925" w:hRule="atLeast"/>
        </w:trPr>
        <w:tc>
          <w:tcPr>
            <w:tcW w:w="1698" w:type="dxa"/>
            <w:tcBorders>
              <w:top w:val="nil"/>
              <w:left w:val="single" w:color="000000" w:sz="4" w:space="0"/>
              <w:bottom w:val="single" w:color="auto" w:sz="4" w:space="0"/>
              <w:right w:val="single" w:color="000000" w:sz="4" w:space="0"/>
            </w:tcBorders>
            <w:shd w:val="clear" w:color="auto" w:fill="FFFFFF"/>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为行政机关提供法律顾问</w:t>
            </w:r>
          </w:p>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服务的情况</w:t>
            </w:r>
          </w:p>
        </w:tc>
        <w:tc>
          <w:tcPr>
            <w:tcW w:w="8307" w:type="dxa"/>
            <w:gridSpan w:val="5"/>
            <w:tcBorders>
              <w:top w:val="nil"/>
              <w:left w:val="nil"/>
              <w:bottom w:val="single" w:color="auto" w:sz="4" w:space="0"/>
              <w:right w:val="single" w:color="000000" w:sz="4" w:space="0"/>
            </w:tcBorders>
            <w:shd w:val="clear" w:color="auto" w:fill="FFFFFF"/>
            <w:vAlign w:val="center"/>
          </w:tcPr>
          <w:p>
            <w:pPr>
              <w:spacing w:line="240" w:lineRule="atLeast"/>
              <w:ind w:firstLine="3480" w:firstLineChars="1450"/>
              <w:rPr>
                <w:rFonts w:ascii="仿宋_GB2312" w:hAnsi="仿宋_GB2312" w:eastAsia="仿宋_GB2312" w:cs="仿宋_GB2312"/>
                <w:sz w:val="24"/>
              </w:rPr>
            </w:pPr>
          </w:p>
        </w:tc>
      </w:tr>
      <w:tr>
        <w:tblPrEx>
          <w:tblCellMar>
            <w:top w:w="0" w:type="dxa"/>
            <w:left w:w="108" w:type="dxa"/>
            <w:bottom w:w="0" w:type="dxa"/>
            <w:right w:w="108" w:type="dxa"/>
          </w:tblCellMar>
        </w:tblPrEx>
        <w:trPr>
          <w:trHeight w:val="1436" w:hRule="atLeast"/>
        </w:trPr>
        <w:tc>
          <w:tcPr>
            <w:tcW w:w="1698" w:type="dxa"/>
            <w:tcBorders>
              <w:top w:val="single" w:color="auto" w:sz="4" w:space="0"/>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报价情况</w:t>
            </w:r>
          </w:p>
        </w:tc>
        <w:tc>
          <w:tcPr>
            <w:tcW w:w="8307" w:type="dxa"/>
            <w:gridSpan w:val="5"/>
            <w:tcBorders>
              <w:top w:val="single" w:color="auto" w:sz="4" w:space="0"/>
              <w:left w:val="nil"/>
              <w:bottom w:val="single" w:color="000000" w:sz="4" w:space="0"/>
              <w:right w:val="single" w:color="000000" w:sz="4" w:space="0"/>
            </w:tcBorders>
            <w:shd w:val="clear" w:color="auto" w:fill="FFFFFF"/>
            <w:vAlign w:val="center"/>
          </w:tcPr>
          <w:p>
            <w:pPr>
              <w:spacing w:line="240" w:lineRule="atLeast"/>
              <w:ind w:firstLine="3480" w:firstLineChars="1450"/>
              <w:rPr>
                <w:rFonts w:ascii="仿宋_GB2312" w:hAnsi="仿宋_GB2312" w:eastAsia="仿宋_GB2312" w:cs="仿宋_GB2312"/>
                <w:sz w:val="24"/>
              </w:rPr>
            </w:pPr>
          </w:p>
        </w:tc>
      </w:tr>
      <w:tr>
        <w:tblPrEx>
          <w:tblCellMar>
            <w:top w:w="0" w:type="dxa"/>
            <w:left w:w="108" w:type="dxa"/>
            <w:bottom w:w="0" w:type="dxa"/>
            <w:right w:w="108" w:type="dxa"/>
          </w:tblCellMar>
        </w:tblPrEx>
        <w:trPr>
          <w:trHeight w:val="3526" w:hRule="atLeast"/>
        </w:trPr>
        <w:tc>
          <w:tcPr>
            <w:tcW w:w="1698" w:type="dxa"/>
            <w:tcBorders>
              <w:top w:val="nil"/>
              <w:left w:val="single" w:color="000000" w:sz="4" w:space="0"/>
              <w:bottom w:val="single" w:color="000000" w:sz="4" w:space="0"/>
              <w:right w:val="single" w:color="000000" w:sz="4" w:space="0"/>
            </w:tcBorders>
            <w:shd w:val="clear" w:color="auto" w:fill="FFFFFF"/>
            <w:vAlign w:val="center"/>
          </w:tcPr>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事务所</w:t>
            </w:r>
          </w:p>
          <w:p>
            <w:pPr>
              <w:spacing w:line="240" w:lineRule="atLeast"/>
              <w:jc w:val="center"/>
              <w:rPr>
                <w:rFonts w:ascii="仿宋_GB2312" w:hAnsi="仿宋_GB2312" w:eastAsia="仿宋_GB2312" w:cs="仿宋_GB2312"/>
                <w:sz w:val="24"/>
              </w:rPr>
            </w:pPr>
            <w:r>
              <w:rPr>
                <w:rFonts w:hint="eastAsia" w:ascii="仿宋_GB2312" w:hAnsi="仿宋_GB2312" w:eastAsia="仿宋_GB2312" w:cs="仿宋_GB2312"/>
                <w:sz w:val="24"/>
              </w:rPr>
              <w:t>确认盖章</w:t>
            </w:r>
          </w:p>
        </w:tc>
        <w:tc>
          <w:tcPr>
            <w:tcW w:w="8307" w:type="dxa"/>
            <w:gridSpan w:val="5"/>
            <w:tcBorders>
              <w:top w:val="nil"/>
              <w:left w:val="nil"/>
              <w:bottom w:val="single" w:color="000000" w:sz="4" w:space="0"/>
              <w:right w:val="single" w:color="000000" w:sz="4" w:space="0"/>
            </w:tcBorders>
            <w:shd w:val="clear" w:color="auto" w:fill="FFFFFF"/>
            <w:vAlign w:val="center"/>
          </w:tcPr>
          <w:p>
            <w:pPr>
              <w:spacing w:line="240" w:lineRule="atLeast"/>
              <w:rPr>
                <w:rFonts w:ascii="仿宋_GB2312" w:hAnsi="仿宋_GB2312" w:eastAsia="仿宋_GB2312" w:cs="仿宋_GB2312"/>
                <w:sz w:val="24"/>
              </w:rPr>
            </w:pPr>
            <w:r>
              <w:rPr>
                <w:rFonts w:hint="eastAsia" w:ascii="仿宋_GB2312" w:hAnsi="仿宋_GB2312" w:eastAsia="仿宋_GB2312" w:cs="仿宋_GB2312"/>
                <w:sz w:val="24"/>
              </w:rPr>
              <w:t>（在此栏还需承诺律师事务所及所内律师无刑事犯罪记录，近5年内没有受过司法行政部门处罚、行业协会纪律处分，近5年内未被记入公共信用信息平台失信主体记录。）</w:t>
            </w:r>
          </w:p>
          <w:p>
            <w:pPr>
              <w:spacing w:line="240" w:lineRule="atLeast"/>
              <w:ind w:firstLine="3720" w:firstLineChars="1550"/>
              <w:rPr>
                <w:rFonts w:ascii="仿宋_GB2312" w:hAnsi="仿宋_GB2312" w:eastAsia="仿宋_GB2312" w:cs="仿宋_GB2312"/>
                <w:sz w:val="24"/>
              </w:rPr>
            </w:pPr>
          </w:p>
          <w:p>
            <w:pPr>
              <w:spacing w:line="240" w:lineRule="atLeast"/>
              <w:ind w:firstLine="3720" w:firstLineChars="1550"/>
              <w:rPr>
                <w:rFonts w:ascii="仿宋_GB2312" w:hAnsi="仿宋_GB2312" w:eastAsia="仿宋_GB2312" w:cs="仿宋_GB2312"/>
                <w:sz w:val="24"/>
              </w:rPr>
            </w:pPr>
            <w:r>
              <w:rPr>
                <w:rFonts w:hint="eastAsia" w:ascii="仿宋_GB2312" w:hAnsi="仿宋_GB2312" w:eastAsia="仿宋_GB2312" w:cs="仿宋_GB2312"/>
                <w:sz w:val="24"/>
              </w:rPr>
              <w:t xml:space="preserve">             （盖章）</w:t>
            </w:r>
          </w:p>
          <w:p>
            <w:pPr>
              <w:spacing w:line="240" w:lineRule="atLeast"/>
              <w:rPr>
                <w:rFonts w:ascii="仿宋_GB2312" w:hAnsi="仿宋_GB2312" w:eastAsia="仿宋_GB2312" w:cs="仿宋_GB2312"/>
                <w:sz w:val="24"/>
              </w:rPr>
            </w:pPr>
            <w:r>
              <w:rPr>
                <w:rFonts w:hint="eastAsia" w:ascii="仿宋_GB2312" w:hAnsi="仿宋_GB2312" w:eastAsia="仿宋_GB2312" w:cs="仿宋_GB2312"/>
                <w:sz w:val="24"/>
              </w:rPr>
              <w:t xml:space="preserve">　　　　　　　　　　　　　　      </w:t>
            </w:r>
            <w:r>
              <w:rPr>
                <w:rFonts w:hint="eastAsia" w:ascii="宋体" w:hAnsi="宋体" w:eastAsia="宋体" w:cs="宋体"/>
                <w:sz w:val="24"/>
              </w:rPr>
              <w:t> </w:t>
            </w:r>
            <w:r>
              <w:rPr>
                <w:rFonts w:hint="eastAsia" w:ascii="仿宋_GB2312" w:hAnsi="仿宋_GB2312" w:eastAsia="仿宋_GB2312" w:cs="仿宋_GB2312"/>
                <w:sz w:val="24"/>
              </w:rPr>
              <w:t xml:space="preserve">        年　</w:t>
            </w:r>
            <w:r>
              <w:rPr>
                <w:rFonts w:hint="eastAsia" w:ascii="宋体" w:hAnsi="宋体" w:eastAsia="宋体" w:cs="宋体"/>
                <w:sz w:val="24"/>
              </w:rPr>
              <w:t> </w:t>
            </w:r>
            <w:r>
              <w:rPr>
                <w:rFonts w:hint="eastAsia" w:ascii="仿宋_GB2312" w:hAnsi="仿宋_GB2312" w:eastAsia="仿宋_GB2312" w:cs="仿宋_GB2312"/>
                <w:sz w:val="24"/>
              </w:rPr>
              <w:t>月　</w:t>
            </w:r>
            <w:r>
              <w:rPr>
                <w:rFonts w:hint="eastAsia" w:ascii="宋体" w:hAnsi="宋体" w:eastAsia="宋体" w:cs="宋体"/>
                <w:sz w:val="24"/>
              </w:rPr>
              <w:t> </w:t>
            </w:r>
            <w:r>
              <w:rPr>
                <w:rFonts w:hint="eastAsia" w:ascii="仿宋_GB2312" w:hAnsi="仿宋_GB2312" w:eastAsia="仿宋_GB2312" w:cs="仿宋_GB2312"/>
                <w:sz w:val="24"/>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hNmRkM2Q5M2ZmNjJjNmI4ZDFlZjZlMjdmOTFjYmIifQ=="/>
  </w:docVars>
  <w:rsids>
    <w:rsidRoot w:val="00410D5E"/>
    <w:rsid w:val="00001553"/>
    <w:rsid w:val="00010173"/>
    <w:rsid w:val="00021A46"/>
    <w:rsid w:val="000230D4"/>
    <w:rsid w:val="000A7D49"/>
    <w:rsid w:val="000B24D3"/>
    <w:rsid w:val="000B721B"/>
    <w:rsid w:val="00111887"/>
    <w:rsid w:val="00125308"/>
    <w:rsid w:val="001315FD"/>
    <w:rsid w:val="00157D23"/>
    <w:rsid w:val="001606DE"/>
    <w:rsid w:val="00182259"/>
    <w:rsid w:val="001A4B30"/>
    <w:rsid w:val="001A7690"/>
    <w:rsid w:val="00221118"/>
    <w:rsid w:val="00252416"/>
    <w:rsid w:val="002613EA"/>
    <w:rsid w:val="002E3415"/>
    <w:rsid w:val="0031424C"/>
    <w:rsid w:val="00320E5A"/>
    <w:rsid w:val="00363E3A"/>
    <w:rsid w:val="003C7047"/>
    <w:rsid w:val="00410D5E"/>
    <w:rsid w:val="004B6960"/>
    <w:rsid w:val="00501868"/>
    <w:rsid w:val="00530409"/>
    <w:rsid w:val="00547D58"/>
    <w:rsid w:val="00562597"/>
    <w:rsid w:val="00577DAB"/>
    <w:rsid w:val="00581C04"/>
    <w:rsid w:val="00582D88"/>
    <w:rsid w:val="005A6696"/>
    <w:rsid w:val="005D216C"/>
    <w:rsid w:val="006112B9"/>
    <w:rsid w:val="00615BD0"/>
    <w:rsid w:val="006D6B64"/>
    <w:rsid w:val="006F239B"/>
    <w:rsid w:val="00703144"/>
    <w:rsid w:val="007C6FDE"/>
    <w:rsid w:val="007F255A"/>
    <w:rsid w:val="0081609B"/>
    <w:rsid w:val="00852123"/>
    <w:rsid w:val="008642F1"/>
    <w:rsid w:val="008831D9"/>
    <w:rsid w:val="008C649E"/>
    <w:rsid w:val="008D2A5A"/>
    <w:rsid w:val="008D4154"/>
    <w:rsid w:val="00915BA4"/>
    <w:rsid w:val="00940122"/>
    <w:rsid w:val="00956588"/>
    <w:rsid w:val="00956A6C"/>
    <w:rsid w:val="009D06CE"/>
    <w:rsid w:val="009D1FDE"/>
    <w:rsid w:val="009E0293"/>
    <w:rsid w:val="00A00C44"/>
    <w:rsid w:val="00A05033"/>
    <w:rsid w:val="00A36AB0"/>
    <w:rsid w:val="00A72540"/>
    <w:rsid w:val="00A7560F"/>
    <w:rsid w:val="00A75A31"/>
    <w:rsid w:val="00A86F55"/>
    <w:rsid w:val="00AA35F0"/>
    <w:rsid w:val="00AE7BBF"/>
    <w:rsid w:val="00B538D2"/>
    <w:rsid w:val="00B66BA5"/>
    <w:rsid w:val="00BC16E2"/>
    <w:rsid w:val="00C21194"/>
    <w:rsid w:val="00C264F9"/>
    <w:rsid w:val="00C8067D"/>
    <w:rsid w:val="00CE6BE8"/>
    <w:rsid w:val="00D05A02"/>
    <w:rsid w:val="00D55259"/>
    <w:rsid w:val="00D7239A"/>
    <w:rsid w:val="00DB5AFB"/>
    <w:rsid w:val="00DD0F50"/>
    <w:rsid w:val="00E2436A"/>
    <w:rsid w:val="00E67247"/>
    <w:rsid w:val="00EB1589"/>
    <w:rsid w:val="00EC352D"/>
    <w:rsid w:val="00EF18C6"/>
    <w:rsid w:val="00F010C3"/>
    <w:rsid w:val="00F217D8"/>
    <w:rsid w:val="00F81B56"/>
    <w:rsid w:val="00FD156E"/>
    <w:rsid w:val="00FD1F2E"/>
    <w:rsid w:val="1D4023FB"/>
    <w:rsid w:val="72200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日期 字符"/>
    <w:basedOn w:val="7"/>
    <w:link w:val="2"/>
    <w:semiHidden/>
    <w:qFormat/>
    <w:uiPriority w:val="99"/>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character" w:customStyle="1" w:styleId="11">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2336</Words>
  <Characters>2390</Characters>
  <Lines>14</Lines>
  <Paragraphs>4</Paragraphs>
  <TotalTime>8</TotalTime>
  <ScaleCrop>false</ScaleCrop>
  <LinksUpToDate>false</LinksUpToDate>
  <CharactersWithSpaces>2563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2021-05-20T01:52:00Z</dcterms:created>
  <dc:creator>林娇</dc:creator>
  <cp:lastModifiedBy>林娇</cp:lastModifiedBy>
  <cp:lastPrinted>2021-05-27T03:09:00Z</cp:lastPrinted>
  <dcterms:modified xsi:type="dcterms:W3CDTF">2022-05-18T02:37:41Z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9820E16CD8C045D0BD54D2CB6022E6EB</vt:lpwstr>
  </property>
</Properties>
</file>