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附件2</w:t>
      </w:r>
    </w:p>
    <w:p>
      <w:pPr>
        <w:snapToGrid w:val="0"/>
        <w:spacing w:line="360" w:lineRule="auto"/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snapToGrid w:val="0"/>
        <w:spacing w:line="360" w:lineRule="auto"/>
        <w:jc w:val="center"/>
        <w:rPr>
          <w:rFonts w:hint="eastAsia" w:ascii="华康简标题宋" w:hAnsi="华康简标题宋" w:eastAsia="华康简标题宋" w:cs="华康简标题宋"/>
          <w:sz w:val="44"/>
          <w:szCs w:val="44"/>
          <w:lang w:val="en-US" w:eastAsia="zh-CN"/>
        </w:rPr>
      </w:pPr>
      <w:bookmarkStart w:id="0" w:name="_GoBack"/>
      <w:r>
        <w:rPr>
          <w:rFonts w:hint="eastAsia" w:ascii="华康简标题宋" w:hAnsi="华康简标题宋" w:eastAsia="华康简标题宋" w:cs="华康简标题宋"/>
          <w:sz w:val="44"/>
          <w:szCs w:val="44"/>
          <w:lang w:val="en-US" w:eastAsia="zh-CN"/>
        </w:rPr>
        <w:t>外商投资企业监督检查材料清单</w:t>
      </w:r>
      <w:bookmarkEnd w:id="0"/>
    </w:p>
    <w:p>
      <w:pPr>
        <w:snapToGrid w:val="0"/>
        <w:spacing w:line="360" w:lineRule="auto"/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snapToGrid w:val="0"/>
        <w:spacing w:line="360" w:lineRule="auto"/>
        <w:rPr>
          <w:rFonts w:hint="default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 1、公司基本情况。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应包括但不限于公司主要运营情况、出资计划、股东情况、公司联系人及电话、邮箱；</w:t>
      </w:r>
    </w:p>
    <w:p>
      <w:pPr>
        <w:snapToGrid w:val="0"/>
        <w:spacing w:line="360" w:lineRule="auto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 2、经市场监管部门备案的章程；</w:t>
      </w:r>
    </w:p>
    <w:p>
      <w:pPr>
        <w:snapToGrid w:val="0"/>
        <w:spacing w:line="360" w:lineRule="auto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 3、公司2019年至2021年期间的出资证明（验资报告、FDI入帐登记表、涉外收入申报表、银行水单等）；</w:t>
      </w:r>
    </w:p>
    <w:p>
      <w:pPr>
        <w:snapToGrid w:val="0"/>
        <w:spacing w:line="360" w:lineRule="auto"/>
        <w:ind w:firstLine="640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4、公司股权结构图（追溯实际控制人）；</w:t>
      </w:r>
    </w:p>
    <w:p>
      <w:pPr>
        <w:snapToGrid w:val="0"/>
        <w:spacing w:line="360" w:lineRule="auto"/>
        <w:ind w:firstLine="640"/>
        <w:rPr>
          <w:rFonts w:hint="default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5、2020年12月公司财务报表（应与提交年度信息报告数据一致）。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6、增资协议；股权转让合同（如有增资、股转情况）；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7、资产评估报告（涉及并购交易的）</w:t>
      </w:r>
    </w:p>
    <w:p>
      <w:pPr>
        <w:snapToGrid w:val="0"/>
        <w:spacing w:line="360" w:lineRule="auto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 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备注 :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1、上述材料请分别加盖公章。提供复印件的材料须标注“此件与原件相符”并加盖公章。</w:t>
      </w:r>
    </w:p>
    <w:p>
      <w:pPr>
        <w:snapToGrid w:val="0"/>
        <w:spacing w:line="360" w:lineRule="auto"/>
        <w:ind w:firstLine="640" w:firstLineChars="200"/>
        <w:rPr>
          <w:rFonts w:hint="default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2、提交纸质材料地址：越秀区先烈中路83号商务中心605。越秀区商务局对外经济贸易科联系人：黄其昌，电话：37625631。           </w:t>
      </w:r>
    </w:p>
    <w:p>
      <w:pPr>
        <w:snapToGrid w:val="0"/>
        <w:spacing w:line="360" w:lineRule="auto"/>
        <w:ind w:firstLine="640"/>
        <w:rPr>
          <w:rFonts w:hint="eastAsia" w:ascii="仿宋_GB2312" w:hAnsi="仿宋_GB2312" w:eastAsia="仿宋_GB2312"/>
          <w:sz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康简标题宋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B0A96"/>
    <w:rsid w:val="0DCA285C"/>
    <w:rsid w:val="10AF66A0"/>
    <w:rsid w:val="12D95146"/>
    <w:rsid w:val="208339DD"/>
    <w:rsid w:val="2DF168B6"/>
    <w:rsid w:val="2EC76923"/>
    <w:rsid w:val="2F1C7578"/>
    <w:rsid w:val="31C908E8"/>
    <w:rsid w:val="3B3B0B41"/>
    <w:rsid w:val="3F510038"/>
    <w:rsid w:val="402F0910"/>
    <w:rsid w:val="45B30A41"/>
    <w:rsid w:val="52B50E8E"/>
    <w:rsid w:val="5349188A"/>
    <w:rsid w:val="54C328A9"/>
    <w:rsid w:val="6F8C2BF2"/>
    <w:rsid w:val="719F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2021-07-21T09:07:00Z</dcterms:created>
  <dc:creator>Administrator</dc:creator>
  <cp:lastModifiedBy>彭子熹</cp:lastModifiedBy>
  <cp:lastPrinted>2022-01-29T01:26:00Z</cp:lastPrinted>
  <dcterms:modified xsi:type="dcterms:W3CDTF">2022-01-30T01:23:06Z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FE4973160C9B42C4A6115580632EF408</vt:lpwstr>
  </property>
</Properties>
</file>