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rPr>
          <w:rFonts w:hint="eastAsia" w:ascii="黑体" w:hAnsi="黑体" w:eastAsia="黑体" w:cs="宋体"/>
          <w:color w:val="333333"/>
          <w:spacing w:val="8"/>
          <w:kern w:val="0"/>
          <w:sz w:val="32"/>
          <w:szCs w:val="32"/>
          <w:shd w:val="clear" w:color="auto" w:fill="FFFFFF"/>
        </w:rPr>
      </w:pPr>
      <w:r>
        <w:rPr>
          <w:rFonts w:hint="eastAsia" w:ascii="黑体" w:hAnsi="黑体" w:eastAsia="黑体" w:cs="宋体"/>
          <w:color w:val="333333"/>
          <w:spacing w:val="8"/>
          <w:kern w:val="0"/>
          <w:sz w:val="32"/>
          <w:szCs w:val="32"/>
          <w:shd w:val="clear" w:color="auto" w:fill="FFFFFF"/>
        </w:rPr>
        <w:t xml:space="preserve">附件2 </w:t>
      </w:r>
    </w:p>
    <w:p>
      <w:pPr>
        <w:widowControl/>
        <w:shd w:val="clear" w:color="auto" w:fill="FFFFFF"/>
        <w:spacing w:line="560" w:lineRule="atLeast"/>
        <w:rPr>
          <w:rFonts w:hint="eastAsia" w:ascii="黑体" w:hAnsi="黑体" w:eastAsia="黑体" w:cs="宋体"/>
          <w:color w:val="333333"/>
          <w:spacing w:val="8"/>
          <w:kern w:val="0"/>
          <w:sz w:val="32"/>
          <w:szCs w:val="32"/>
          <w:shd w:val="clear" w:color="auto" w:fill="FFFFFF"/>
        </w:rPr>
      </w:pPr>
    </w:p>
    <w:p>
      <w:pPr>
        <w:widowControl/>
        <w:shd w:val="clear" w:color="auto" w:fill="FFFFFF"/>
        <w:spacing w:line="640" w:lineRule="exact"/>
        <w:jc w:val="center"/>
        <w:rPr>
          <w:rFonts w:hint="eastAsia" w:ascii="方正小标宋简体" w:hAnsi="黑体" w:eastAsia="方正小标宋简体" w:cs="宋体"/>
          <w:bCs/>
          <w:color w:val="333333"/>
          <w:spacing w:val="8"/>
          <w:kern w:val="0"/>
          <w:sz w:val="44"/>
          <w:szCs w:val="44"/>
          <w:shd w:val="clear" w:color="auto" w:fill="FFFFFF"/>
        </w:rPr>
      </w:pPr>
      <w:bookmarkStart w:id="0" w:name="_GoBack"/>
      <w:r>
        <w:rPr>
          <w:rFonts w:hint="eastAsia" w:ascii="方正小标宋简体" w:hAnsi="黑体" w:eastAsia="方正小标宋简体" w:cs="宋体"/>
          <w:bCs/>
          <w:color w:val="333333"/>
          <w:spacing w:val="8"/>
          <w:kern w:val="0"/>
          <w:sz w:val="44"/>
          <w:szCs w:val="44"/>
          <w:shd w:val="clear" w:color="auto" w:fill="FFFFFF"/>
        </w:rPr>
        <w:t>《建设工程消防设计审查验收管理暂行规定》关于“特殊建设工程”的定义</w:t>
      </w:r>
    </w:p>
    <w:bookmarkEnd w:id="0"/>
    <w:p>
      <w:pPr>
        <w:widowControl/>
        <w:shd w:val="clear" w:color="auto" w:fill="FFFFFF"/>
        <w:autoSpaceDN w:val="0"/>
        <w:spacing w:line="560" w:lineRule="atLeast"/>
        <w:ind w:firstLine="640"/>
        <w:jc w:val="left"/>
        <w:rPr>
          <w:rFonts w:hint="eastAsia" w:ascii="仿宋" w:hAnsi="仿宋" w:eastAsia="仿宋" w:cs="宋体"/>
          <w:color w:val="333333"/>
          <w:spacing w:val="8"/>
          <w:kern w:val="0"/>
          <w:sz w:val="32"/>
          <w:szCs w:val="32"/>
          <w:shd w:val="clear" w:color="auto" w:fill="FFFFFF"/>
        </w:rPr>
      </w:pPr>
    </w:p>
    <w:p>
      <w:pPr>
        <w:ind w:firstLine="640" w:firstLineChars="200"/>
        <w:rPr>
          <w:rFonts w:hint="eastAsia" w:ascii="仿宋_GB2312" w:eastAsia="仿宋_GB2312"/>
          <w:sz w:val="32"/>
          <w:szCs w:val="32"/>
        </w:rPr>
      </w:pPr>
      <w:r>
        <w:rPr>
          <w:rFonts w:hint="eastAsia" w:ascii="仿宋_GB2312" w:eastAsia="仿宋_GB2312"/>
          <w:sz w:val="32"/>
          <w:szCs w:val="32"/>
        </w:rPr>
        <w:t>第十四条 具有下列情形之一的建设工程是特殊建设工程：</w:t>
      </w:r>
    </w:p>
    <w:p>
      <w:pPr>
        <w:ind w:firstLine="640" w:firstLineChars="200"/>
        <w:rPr>
          <w:rFonts w:hint="eastAsia" w:ascii="仿宋_GB2312" w:eastAsia="仿宋_GB2312"/>
          <w:sz w:val="32"/>
          <w:szCs w:val="32"/>
        </w:rPr>
      </w:pPr>
      <w:r>
        <w:rPr>
          <w:rFonts w:hint="eastAsia" w:ascii="仿宋_GB2312" w:eastAsia="仿宋_GB2312"/>
          <w:sz w:val="32"/>
          <w:szCs w:val="32"/>
        </w:rPr>
        <w:t>（一）总建筑面积大于二万平方米的体育场馆、会堂，公共展览馆、博物馆的展示厅；</w:t>
      </w:r>
    </w:p>
    <w:p>
      <w:pPr>
        <w:ind w:firstLine="640" w:firstLineChars="200"/>
        <w:rPr>
          <w:rFonts w:hint="eastAsia" w:ascii="仿宋_GB2312" w:eastAsia="仿宋_GB2312"/>
          <w:sz w:val="32"/>
          <w:szCs w:val="32"/>
        </w:rPr>
      </w:pPr>
      <w:r>
        <w:rPr>
          <w:rFonts w:hint="eastAsia" w:ascii="仿宋_GB2312" w:eastAsia="仿宋_GB2312"/>
          <w:sz w:val="32"/>
          <w:szCs w:val="32"/>
        </w:rPr>
        <w:t>（二）总建筑面积大于一万五千平方米的民用机场航站楼、客运车站候车室、客运码头候船厅；</w:t>
      </w:r>
    </w:p>
    <w:p>
      <w:pPr>
        <w:ind w:firstLine="640" w:firstLineChars="200"/>
        <w:rPr>
          <w:rFonts w:hint="eastAsia" w:ascii="仿宋_GB2312" w:eastAsia="仿宋_GB2312"/>
          <w:sz w:val="32"/>
          <w:szCs w:val="32"/>
        </w:rPr>
      </w:pPr>
      <w:r>
        <w:rPr>
          <w:rFonts w:hint="eastAsia" w:ascii="仿宋_GB2312" w:eastAsia="仿宋_GB2312"/>
          <w:sz w:val="32"/>
          <w:szCs w:val="32"/>
        </w:rPr>
        <w:t>（三）总建筑面积大于一万平方米的宾馆、饭店、商场、市场；</w:t>
      </w:r>
    </w:p>
    <w:p>
      <w:pPr>
        <w:ind w:firstLine="640" w:firstLineChars="200"/>
        <w:rPr>
          <w:rFonts w:hint="eastAsia" w:ascii="仿宋_GB2312" w:eastAsia="仿宋_GB2312"/>
          <w:sz w:val="32"/>
          <w:szCs w:val="32"/>
        </w:rPr>
      </w:pPr>
      <w:r>
        <w:rPr>
          <w:rFonts w:hint="eastAsia" w:ascii="仿宋_GB2312" w:eastAsia="仿宋_GB2312"/>
          <w:sz w:val="32"/>
          <w:szCs w:val="32"/>
        </w:rPr>
        <w:t>（四）总建筑面积大于二千五百平方米的影剧院，公共图书馆的阅览室，营业性室内健身、休闲场馆，医院的门诊楼，大学的教学楼、图书馆、食堂，劳动密集型企业的生产加工车间，寺庙、教堂；</w:t>
      </w:r>
    </w:p>
    <w:p>
      <w:pPr>
        <w:ind w:firstLine="640" w:firstLineChars="200"/>
        <w:rPr>
          <w:rFonts w:hint="eastAsia" w:ascii="仿宋_GB2312" w:eastAsia="仿宋_GB2312"/>
          <w:sz w:val="32"/>
          <w:szCs w:val="32"/>
        </w:rPr>
      </w:pPr>
      <w:r>
        <w:rPr>
          <w:rFonts w:hint="eastAsia" w:ascii="仿宋_GB2312" w:eastAsia="仿宋_GB2312"/>
          <w:sz w:val="32"/>
          <w:szCs w:val="32"/>
        </w:rPr>
        <w:t>（五）总建筑面积大于一千平方米的托儿所、幼儿园的儿童用房，儿童游乐厅等室内儿童活动场所，养老院、福利院，医院、疗养院的病房楼，中小学校的教学楼、图书馆、食堂，学校的集体宿舍，劳动密集型企业的员工集体宿舍；</w:t>
      </w:r>
    </w:p>
    <w:p>
      <w:pPr>
        <w:ind w:firstLine="640" w:firstLineChars="200"/>
        <w:rPr>
          <w:rFonts w:hint="eastAsia" w:ascii="仿宋_GB2312" w:eastAsia="仿宋_GB2312"/>
          <w:sz w:val="32"/>
          <w:szCs w:val="32"/>
        </w:rPr>
      </w:pPr>
      <w:r>
        <w:rPr>
          <w:rFonts w:hint="eastAsia" w:ascii="仿宋_GB2312" w:eastAsia="仿宋_GB2312"/>
          <w:sz w:val="32"/>
          <w:szCs w:val="32"/>
        </w:rPr>
        <w:t>（六）总建筑面积大于五百平方米的歌舞厅、录像厅、放映厅、卡拉ＯＫ厅、夜总会、游艺厅、桑拿浴室、网吧、酒吧，具有娱乐功能的餐馆、茶馆、咖啡厅；</w:t>
      </w:r>
    </w:p>
    <w:p>
      <w:pPr>
        <w:ind w:firstLine="640" w:firstLineChars="200"/>
        <w:rPr>
          <w:rFonts w:hint="eastAsia" w:ascii="仿宋_GB2312" w:eastAsia="仿宋_GB2312"/>
          <w:sz w:val="32"/>
          <w:szCs w:val="32"/>
        </w:rPr>
      </w:pPr>
      <w:r>
        <w:rPr>
          <w:rFonts w:hint="eastAsia" w:ascii="仿宋_GB2312" w:eastAsia="仿宋_GB2312"/>
          <w:sz w:val="32"/>
          <w:szCs w:val="32"/>
        </w:rPr>
        <w:t>（七）国家工程建设消防技术标准规定的一类高层住宅建筑；</w:t>
      </w:r>
    </w:p>
    <w:p>
      <w:pPr>
        <w:ind w:firstLine="640" w:firstLineChars="200"/>
        <w:rPr>
          <w:rFonts w:hint="eastAsia" w:ascii="仿宋_GB2312" w:eastAsia="仿宋_GB2312"/>
          <w:sz w:val="32"/>
          <w:szCs w:val="32"/>
        </w:rPr>
      </w:pPr>
      <w:r>
        <w:rPr>
          <w:rFonts w:hint="eastAsia" w:ascii="仿宋_GB2312" w:eastAsia="仿宋_GB2312"/>
          <w:sz w:val="32"/>
          <w:szCs w:val="32"/>
        </w:rPr>
        <w:t>（八）城市轨道交通、隧道工程，大型发电、变配电工程；</w:t>
      </w:r>
    </w:p>
    <w:p>
      <w:pPr>
        <w:ind w:firstLine="640" w:firstLineChars="200"/>
        <w:rPr>
          <w:rFonts w:hint="eastAsia" w:ascii="仿宋_GB2312" w:eastAsia="仿宋_GB2312"/>
          <w:sz w:val="32"/>
          <w:szCs w:val="32"/>
        </w:rPr>
      </w:pPr>
      <w:r>
        <w:rPr>
          <w:rFonts w:hint="eastAsia" w:ascii="仿宋_GB2312" w:eastAsia="仿宋_GB2312"/>
          <w:sz w:val="32"/>
          <w:szCs w:val="32"/>
        </w:rPr>
        <w:t>（九）生产、储存、装卸易燃易爆危险物品的工厂、仓库和专用车站、码头，易燃易爆气体和液体的充装站、供应站、调压站；</w:t>
      </w:r>
    </w:p>
    <w:p>
      <w:pPr>
        <w:ind w:firstLine="640" w:firstLineChars="200"/>
        <w:rPr>
          <w:rFonts w:hint="eastAsia" w:ascii="仿宋_GB2312" w:eastAsia="仿宋_GB2312"/>
          <w:sz w:val="32"/>
          <w:szCs w:val="32"/>
        </w:rPr>
      </w:pPr>
      <w:r>
        <w:rPr>
          <w:rFonts w:hint="eastAsia" w:ascii="仿宋_GB2312" w:eastAsia="仿宋_GB2312"/>
          <w:sz w:val="32"/>
          <w:szCs w:val="32"/>
        </w:rPr>
        <w:t>（十）国家机关办公楼、电力调度楼、电信楼、邮政楼、防灾指挥调度楼、广播电视楼、档案楼；</w:t>
      </w:r>
    </w:p>
    <w:p>
      <w:pPr>
        <w:ind w:firstLine="640" w:firstLineChars="200"/>
        <w:rPr>
          <w:rFonts w:hint="eastAsia" w:ascii="仿宋_GB2312" w:eastAsia="仿宋_GB2312"/>
          <w:sz w:val="32"/>
          <w:szCs w:val="32"/>
        </w:rPr>
      </w:pPr>
      <w:r>
        <w:rPr>
          <w:rFonts w:hint="eastAsia" w:ascii="仿宋_GB2312" w:eastAsia="仿宋_GB2312"/>
          <w:sz w:val="32"/>
          <w:szCs w:val="32"/>
        </w:rPr>
        <w:t>（十一）设有本条第一项至第六项所列情形的建设工程；</w:t>
      </w:r>
    </w:p>
    <w:p>
      <w:pPr>
        <w:ind w:firstLine="640" w:firstLineChars="200"/>
      </w:pPr>
      <w:r>
        <w:rPr>
          <w:rFonts w:hint="eastAsia" w:ascii="仿宋_GB2312" w:eastAsia="仿宋_GB2312"/>
          <w:sz w:val="32"/>
          <w:szCs w:val="32"/>
        </w:rPr>
        <w:t>（十二）本条第十项、第十一项规定以外的单体建筑面积大于四万平方米或者建筑高度超过五十米的公共建筑。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黑体">
    <w:panose1 w:val="02010609060101010101"/>
    <w:charset w:val="86"/>
    <w:family w:val="swiss"/>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EB69DB"/>
    <w:rsid w:val="10EB69D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2021-06-04T02:04:00Z</dcterms:created>
  <dc:creator>重点项目建设科</dc:creator>
  <cp:lastModifiedBy>重点项目建设科</cp:lastModifiedBy>
  <dcterms:modified xsi:type="dcterms:W3CDTF">2021-06-04T02:04:49Z</dcterms:modified>
  <dc:title>附件2 </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2052-10.8.0.5562</vt:lpwstr>
  </property>
</Properties>
</file>