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191BE">
      <w:pPr>
        <w:pStyle w:val="2"/>
        <w:spacing w:line="290" w:lineRule="auto"/>
        <w:rPr>
          <w:rFonts w:eastAsia="宋体"/>
          <w:color w:val="auto"/>
          <w:lang w:eastAsia="zh-CN"/>
        </w:rPr>
      </w:pPr>
      <w:bookmarkStart w:id="4" w:name="_GoBack"/>
      <w:bookmarkEnd w:id="4"/>
      <w:r>
        <w:rPr>
          <w:rFonts w:hint="eastAsia" w:eastAsia="宋体"/>
          <w:color w:val="auto"/>
          <w:lang w:eastAsia="zh-CN"/>
        </w:rPr>
        <w:t xml:space="preserve"> </w:t>
      </w:r>
    </w:p>
    <w:p w14:paraId="54D82BAE">
      <w:pPr>
        <w:pStyle w:val="2"/>
        <w:spacing w:line="290" w:lineRule="auto"/>
        <w:jc w:val="distribute"/>
        <w:rPr>
          <w:rFonts w:ascii="Times New Roman" w:hAnsi="Times New Roman" w:eastAsia="方正小标宋简体" w:cs="Times New Roman"/>
          <w:snapToGrid/>
          <w:color w:val="auto"/>
          <w:kern w:val="2"/>
          <w:sz w:val="48"/>
          <w:szCs w:val="48"/>
          <w:lang w:eastAsia="zh-CN"/>
        </w:rPr>
      </w:pPr>
      <w:r>
        <w:rPr>
          <w:rFonts w:hint="eastAsia" w:ascii="Times New Roman" w:hAnsi="Times New Roman" w:eastAsia="方正小标宋简体" w:cs="Times New Roman"/>
          <w:snapToGrid/>
          <w:color w:val="auto"/>
          <w:kern w:val="2"/>
          <w:sz w:val="48"/>
          <w:szCs w:val="48"/>
          <w:lang w:eastAsia="zh-CN"/>
        </w:rPr>
        <w:t>广州市越秀区人民政府</w:t>
      </w:r>
    </w:p>
    <w:p w14:paraId="0B3426B4">
      <w:pPr>
        <w:pStyle w:val="2"/>
        <w:spacing w:line="291" w:lineRule="auto"/>
        <w:jc w:val="distribute"/>
        <w:rPr>
          <w:rFonts w:ascii="Times New Roman" w:hAnsi="Times New Roman" w:eastAsia="方正小标宋简体" w:cs="Times New Roman"/>
          <w:snapToGrid/>
          <w:color w:val="auto"/>
          <w:kern w:val="2"/>
          <w:sz w:val="48"/>
          <w:szCs w:val="48"/>
          <w:lang w:eastAsia="zh-CN"/>
        </w:rPr>
      </w:pPr>
    </w:p>
    <w:p w14:paraId="49EC0E42">
      <w:pPr>
        <w:pStyle w:val="2"/>
        <w:spacing w:line="290" w:lineRule="auto"/>
        <w:jc w:val="distribute"/>
        <w:rPr>
          <w:rFonts w:ascii="Times New Roman" w:hAnsi="Times New Roman" w:eastAsia="方正小标宋简体" w:cs="Times New Roman"/>
          <w:snapToGrid/>
          <w:color w:val="auto"/>
          <w:kern w:val="2"/>
          <w:sz w:val="48"/>
          <w:szCs w:val="48"/>
          <w:lang w:eastAsia="zh-CN"/>
        </w:rPr>
      </w:pPr>
      <w:r>
        <w:rPr>
          <w:rFonts w:hint="eastAsia" w:ascii="Times New Roman" w:hAnsi="Times New Roman" w:eastAsia="方正小标宋简体" w:cs="Times New Roman"/>
          <w:snapToGrid/>
          <w:color w:val="auto"/>
          <w:kern w:val="2"/>
          <w:sz w:val="48"/>
          <w:szCs w:val="48"/>
          <w:lang w:eastAsia="zh-CN"/>
        </w:rPr>
        <w:t>中国邮政储蓄银行股份有限公司</w:t>
      </w:r>
    </w:p>
    <w:p w14:paraId="1D7B8F5D">
      <w:pPr>
        <w:pStyle w:val="2"/>
        <w:spacing w:line="290" w:lineRule="auto"/>
        <w:jc w:val="center"/>
        <w:rPr>
          <w:rFonts w:ascii="Times New Roman" w:hAnsi="Times New Roman" w:eastAsia="方正小标宋简体" w:cs="Times New Roman"/>
          <w:snapToGrid/>
          <w:color w:val="auto"/>
          <w:kern w:val="2"/>
          <w:sz w:val="48"/>
          <w:szCs w:val="48"/>
          <w:lang w:eastAsia="zh-CN"/>
        </w:rPr>
      </w:pPr>
      <w:r>
        <w:rPr>
          <w:rFonts w:hint="eastAsia" w:ascii="Times New Roman" w:hAnsi="Times New Roman" w:eastAsia="方正小标宋简体" w:cs="Times New Roman"/>
          <w:snapToGrid/>
          <w:color w:val="auto"/>
          <w:kern w:val="2"/>
          <w:sz w:val="48"/>
          <w:szCs w:val="48"/>
          <w:lang w:eastAsia="zh-CN"/>
        </w:rPr>
        <w:t>广州市分行</w:t>
      </w:r>
    </w:p>
    <w:p w14:paraId="6F5C689E">
      <w:pPr>
        <w:pStyle w:val="2"/>
        <w:spacing w:line="246" w:lineRule="auto"/>
        <w:rPr>
          <w:color w:val="auto"/>
          <w:lang w:eastAsia="zh-CN"/>
        </w:rPr>
      </w:pPr>
    </w:p>
    <w:p w14:paraId="59E9F87A">
      <w:pPr>
        <w:pStyle w:val="2"/>
        <w:spacing w:line="246" w:lineRule="auto"/>
        <w:rPr>
          <w:color w:val="auto"/>
          <w:lang w:eastAsia="zh-CN"/>
        </w:rPr>
      </w:pPr>
    </w:p>
    <w:p w14:paraId="647422A9">
      <w:pPr>
        <w:pStyle w:val="2"/>
        <w:spacing w:line="246" w:lineRule="auto"/>
        <w:rPr>
          <w:color w:val="auto"/>
          <w:lang w:eastAsia="zh-CN"/>
        </w:rPr>
      </w:pPr>
    </w:p>
    <w:p w14:paraId="0B87D10E">
      <w:pPr>
        <w:pStyle w:val="2"/>
        <w:spacing w:line="246" w:lineRule="auto"/>
        <w:rPr>
          <w:color w:val="auto"/>
          <w:lang w:eastAsia="zh-CN"/>
        </w:rPr>
      </w:pPr>
    </w:p>
    <w:p w14:paraId="7410987A">
      <w:pPr>
        <w:pStyle w:val="2"/>
        <w:spacing w:line="246" w:lineRule="auto"/>
        <w:rPr>
          <w:color w:val="auto"/>
          <w:lang w:eastAsia="zh-CN"/>
        </w:rPr>
      </w:pPr>
    </w:p>
    <w:p w14:paraId="197C1591">
      <w:pPr>
        <w:pStyle w:val="2"/>
        <w:spacing w:line="246" w:lineRule="auto"/>
        <w:rPr>
          <w:color w:val="auto"/>
          <w:lang w:eastAsia="zh-CN"/>
        </w:rPr>
      </w:pPr>
      <w:r>
        <w:rPr>
          <w:color w:val="auto"/>
        </w:rPr>
        <mc:AlternateContent>
          <mc:Choice Requires="wps">
            <w:drawing>
              <wp:anchor distT="0" distB="0" distL="114300" distR="114300" simplePos="0" relativeHeight="251659264" behindDoc="0" locked="0" layoutInCell="1" allowOverlap="1">
                <wp:simplePos x="0" y="0"/>
                <wp:positionH relativeFrom="margin">
                  <wp:posOffset>1951990</wp:posOffset>
                </wp:positionH>
                <wp:positionV relativeFrom="paragraph">
                  <wp:posOffset>15240</wp:posOffset>
                </wp:positionV>
                <wp:extent cx="903605" cy="335788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903605" cy="3357880"/>
                        </a:xfrm>
                        <a:prstGeom prst="rect">
                          <a:avLst/>
                        </a:prstGeom>
                        <a:noFill/>
                        <a:ln>
                          <a:noFill/>
                        </a:ln>
                      </wps:spPr>
                      <wps:txbx>
                        <w:txbxContent>
                          <w:p w14:paraId="27071675">
                            <w:pPr>
                              <w:spacing w:before="21" w:line="211" w:lineRule="auto"/>
                              <w:ind w:left="20"/>
                              <w:outlineLvl w:val="0"/>
                              <w:rPr>
                                <w:rFonts w:ascii="Times New Roman" w:hAnsi="Times New Roman" w:eastAsia="方正小标宋简体" w:cs="Times New Roman"/>
                                <w:snapToGrid/>
                                <w:color w:val="auto"/>
                                <w:sz w:val="72"/>
                                <w:szCs w:val="72"/>
                                <w:lang w:eastAsia="zh-CN"/>
                              </w:rPr>
                            </w:pPr>
                            <w:r>
                              <w:rPr>
                                <w:rFonts w:ascii="黑体" w:hAnsi="黑体" w:eastAsia="黑体" w:cs="黑体"/>
                                <w:spacing w:val="93"/>
                                <w:sz w:val="55"/>
                                <w:szCs w:val="55"/>
                              </w:rPr>
                              <w:t xml:space="preserve"> </w:t>
                            </w:r>
                            <w:r>
                              <w:rPr>
                                <w:rFonts w:hint="eastAsia" w:ascii="Times New Roman" w:hAnsi="Times New Roman" w:eastAsia="方正小标宋简体" w:cs="Times New Roman"/>
                                <w:snapToGrid/>
                                <w:color w:val="auto"/>
                                <w:spacing w:val="0"/>
                                <w:sz w:val="72"/>
                                <w:szCs w:val="72"/>
                                <w:lang w:val="en-US" w:eastAsia="zh-CN"/>
                              </w:rPr>
                              <w:t>框架</w:t>
                            </w:r>
                            <w:r>
                              <w:rPr>
                                <w:rFonts w:hint="eastAsia" w:ascii="Times New Roman" w:hAnsi="Times New Roman" w:eastAsia="方正小标宋简体" w:cs="Times New Roman"/>
                                <w:snapToGrid/>
                                <w:color w:val="auto"/>
                                <w:sz w:val="72"/>
                                <w:szCs w:val="72"/>
                                <w:lang w:eastAsia="zh-CN"/>
                              </w:rPr>
                              <w:t>合 作 协 议</w:t>
                            </w:r>
                          </w:p>
                        </w:txbxContent>
                      </wps:txbx>
                      <wps:bodyPr rot="0" vert="eaVert" wrap="square" lIns="0" tIns="0" rIns="0" bIns="0" anchor="t" anchorCtr="0" upright="1">
                        <a:noAutofit/>
                      </wps:bodyPr>
                    </wps:wsp>
                  </a:graphicData>
                </a:graphic>
              </wp:anchor>
            </w:drawing>
          </mc:Choice>
          <mc:Fallback>
            <w:pict>
              <v:shape id="Text Box 2" o:spid="_x0000_s1026" o:spt="202" type="#_x0000_t202" style="position:absolute;left:0pt;margin-left:153.7pt;margin-top:1.2pt;height:264.4pt;width:71.15pt;mso-position-horizontal-relative:margin;z-index:251659264;mso-width-relative:page;mso-height-relative:page;" filled="f" stroked="f" coordsize="21600,21600" o:gfxdata="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YfU1wAAAAkBAAAPAAAAAAAAAAEAIAAAACIAAABkcnMvZG93bnJl&#10;di54bWxQSwECFAAUAAAACACHTuJAsogbRP4BAAAGBAAADgAAAAAAAAABACAAAAAmAQAAZHJzL2Uy&#10;b0RvYy54bWxQSwUGAAAAAAYABgBZAQAAlgUAAAAA&#10;">
                <v:fill on="f" focussize="0,0"/>
                <v:stroke on="f"/>
                <v:imagedata o:title=""/>
                <o:lock v:ext="edit" aspectratio="f"/>
                <v:textbox inset="0mm,0mm,0mm,0mm" style="layout-flow:vertical-ideographic;">
                  <w:txbxContent>
                    <w:p w14:paraId="27071675">
                      <w:pPr>
                        <w:spacing w:before="21" w:line="211" w:lineRule="auto"/>
                        <w:ind w:left="20"/>
                        <w:outlineLvl w:val="0"/>
                        <w:rPr>
                          <w:rFonts w:ascii="Times New Roman" w:hAnsi="Times New Roman" w:eastAsia="方正小标宋简体" w:cs="Times New Roman"/>
                          <w:snapToGrid/>
                          <w:color w:val="auto"/>
                          <w:sz w:val="72"/>
                          <w:szCs w:val="72"/>
                          <w:lang w:eastAsia="zh-CN"/>
                        </w:rPr>
                      </w:pPr>
                      <w:r>
                        <w:rPr>
                          <w:rFonts w:ascii="黑体" w:hAnsi="黑体" w:eastAsia="黑体" w:cs="黑体"/>
                          <w:spacing w:val="93"/>
                          <w:sz w:val="55"/>
                          <w:szCs w:val="55"/>
                        </w:rPr>
                        <w:t xml:space="preserve"> </w:t>
                      </w:r>
                      <w:r>
                        <w:rPr>
                          <w:rFonts w:hint="eastAsia" w:ascii="Times New Roman" w:hAnsi="Times New Roman" w:eastAsia="方正小标宋简体" w:cs="Times New Roman"/>
                          <w:snapToGrid/>
                          <w:color w:val="auto"/>
                          <w:spacing w:val="0"/>
                          <w:sz w:val="72"/>
                          <w:szCs w:val="72"/>
                          <w:lang w:val="en-US" w:eastAsia="zh-CN"/>
                        </w:rPr>
                        <w:t>框架</w:t>
                      </w:r>
                      <w:r>
                        <w:rPr>
                          <w:rFonts w:hint="eastAsia" w:ascii="Times New Roman" w:hAnsi="Times New Roman" w:eastAsia="方正小标宋简体" w:cs="Times New Roman"/>
                          <w:snapToGrid/>
                          <w:color w:val="auto"/>
                          <w:sz w:val="72"/>
                          <w:szCs w:val="72"/>
                          <w:lang w:eastAsia="zh-CN"/>
                        </w:rPr>
                        <w:t>合 作 协 议</w:t>
                      </w:r>
                    </w:p>
                  </w:txbxContent>
                </v:textbox>
              </v:shape>
            </w:pict>
          </mc:Fallback>
        </mc:AlternateContent>
      </w:r>
    </w:p>
    <w:p w14:paraId="270F22F8">
      <w:pPr>
        <w:pStyle w:val="2"/>
        <w:spacing w:line="246" w:lineRule="auto"/>
        <w:rPr>
          <w:color w:val="auto"/>
          <w:lang w:eastAsia="zh-CN"/>
        </w:rPr>
      </w:pPr>
    </w:p>
    <w:p w14:paraId="5C14D670">
      <w:pPr>
        <w:pStyle w:val="2"/>
        <w:spacing w:line="247" w:lineRule="auto"/>
        <w:rPr>
          <w:color w:val="auto"/>
          <w:lang w:eastAsia="zh-CN"/>
        </w:rPr>
      </w:pPr>
    </w:p>
    <w:p w14:paraId="7A0672BD">
      <w:pPr>
        <w:pStyle w:val="2"/>
        <w:spacing w:line="247" w:lineRule="auto"/>
        <w:rPr>
          <w:color w:val="auto"/>
          <w:lang w:eastAsia="zh-CN"/>
        </w:rPr>
      </w:pPr>
    </w:p>
    <w:p w14:paraId="62AFE68A">
      <w:pPr>
        <w:pStyle w:val="2"/>
        <w:spacing w:line="247" w:lineRule="auto"/>
        <w:rPr>
          <w:color w:val="auto"/>
          <w:lang w:eastAsia="zh-CN"/>
        </w:rPr>
      </w:pPr>
    </w:p>
    <w:p w14:paraId="296D3ADD">
      <w:pPr>
        <w:pStyle w:val="2"/>
        <w:spacing w:line="247" w:lineRule="auto"/>
        <w:rPr>
          <w:color w:val="auto"/>
          <w:lang w:eastAsia="zh-CN"/>
        </w:rPr>
      </w:pPr>
    </w:p>
    <w:p w14:paraId="3EBE4C81">
      <w:pPr>
        <w:pStyle w:val="2"/>
        <w:spacing w:line="247" w:lineRule="auto"/>
        <w:rPr>
          <w:color w:val="auto"/>
          <w:lang w:eastAsia="zh-CN"/>
        </w:rPr>
      </w:pPr>
    </w:p>
    <w:p w14:paraId="12639571">
      <w:pPr>
        <w:pStyle w:val="2"/>
        <w:spacing w:line="247" w:lineRule="auto"/>
        <w:rPr>
          <w:color w:val="auto"/>
          <w:lang w:eastAsia="zh-CN"/>
        </w:rPr>
      </w:pPr>
    </w:p>
    <w:p w14:paraId="496B8CB1">
      <w:pPr>
        <w:pStyle w:val="2"/>
        <w:spacing w:line="247" w:lineRule="auto"/>
        <w:rPr>
          <w:color w:val="auto"/>
          <w:lang w:eastAsia="zh-CN"/>
        </w:rPr>
      </w:pPr>
    </w:p>
    <w:p w14:paraId="0118379E">
      <w:pPr>
        <w:pStyle w:val="2"/>
        <w:spacing w:line="247" w:lineRule="auto"/>
        <w:rPr>
          <w:color w:val="auto"/>
          <w:lang w:eastAsia="zh-CN"/>
        </w:rPr>
      </w:pPr>
    </w:p>
    <w:p w14:paraId="6423F8C8">
      <w:pPr>
        <w:pStyle w:val="2"/>
        <w:spacing w:line="247" w:lineRule="auto"/>
        <w:rPr>
          <w:color w:val="auto"/>
          <w:lang w:eastAsia="zh-CN"/>
        </w:rPr>
      </w:pPr>
    </w:p>
    <w:p w14:paraId="24C273FD">
      <w:pPr>
        <w:pStyle w:val="2"/>
        <w:spacing w:line="247" w:lineRule="auto"/>
        <w:rPr>
          <w:color w:val="auto"/>
          <w:lang w:eastAsia="zh-CN"/>
        </w:rPr>
      </w:pPr>
    </w:p>
    <w:p w14:paraId="3E25F368">
      <w:pPr>
        <w:pStyle w:val="2"/>
        <w:spacing w:line="247" w:lineRule="auto"/>
        <w:rPr>
          <w:color w:val="auto"/>
          <w:lang w:eastAsia="zh-CN"/>
        </w:rPr>
      </w:pPr>
    </w:p>
    <w:p w14:paraId="7D076A63">
      <w:pPr>
        <w:pStyle w:val="2"/>
        <w:spacing w:line="247" w:lineRule="auto"/>
        <w:rPr>
          <w:color w:val="auto"/>
          <w:lang w:eastAsia="zh-CN"/>
        </w:rPr>
      </w:pPr>
    </w:p>
    <w:p w14:paraId="3E1248CD">
      <w:pPr>
        <w:pStyle w:val="2"/>
        <w:spacing w:line="247" w:lineRule="auto"/>
        <w:rPr>
          <w:color w:val="auto"/>
          <w:lang w:eastAsia="zh-CN"/>
        </w:rPr>
      </w:pPr>
    </w:p>
    <w:p w14:paraId="21BBF958">
      <w:pPr>
        <w:pStyle w:val="2"/>
        <w:spacing w:line="247" w:lineRule="auto"/>
        <w:rPr>
          <w:color w:val="auto"/>
          <w:lang w:eastAsia="zh-CN"/>
        </w:rPr>
      </w:pPr>
    </w:p>
    <w:p w14:paraId="4A5162EA">
      <w:pPr>
        <w:pStyle w:val="2"/>
        <w:spacing w:line="247" w:lineRule="auto"/>
        <w:rPr>
          <w:color w:val="auto"/>
          <w:lang w:eastAsia="zh-CN"/>
        </w:rPr>
      </w:pPr>
    </w:p>
    <w:p w14:paraId="45D99412">
      <w:pPr>
        <w:pStyle w:val="2"/>
        <w:spacing w:line="247" w:lineRule="auto"/>
        <w:rPr>
          <w:color w:val="auto"/>
          <w:lang w:eastAsia="zh-CN"/>
        </w:rPr>
      </w:pPr>
    </w:p>
    <w:p w14:paraId="7BC97665">
      <w:pPr>
        <w:pStyle w:val="2"/>
        <w:spacing w:line="247" w:lineRule="auto"/>
        <w:rPr>
          <w:color w:val="auto"/>
          <w:lang w:eastAsia="zh-CN"/>
        </w:rPr>
      </w:pPr>
    </w:p>
    <w:p w14:paraId="04F50F16">
      <w:pPr>
        <w:pStyle w:val="2"/>
        <w:spacing w:line="247" w:lineRule="auto"/>
        <w:rPr>
          <w:color w:val="auto"/>
          <w:lang w:eastAsia="zh-CN"/>
        </w:rPr>
      </w:pPr>
    </w:p>
    <w:p w14:paraId="26CAE846">
      <w:pPr>
        <w:pStyle w:val="2"/>
        <w:spacing w:line="247" w:lineRule="auto"/>
        <w:rPr>
          <w:color w:val="auto"/>
          <w:lang w:eastAsia="zh-CN"/>
        </w:rPr>
      </w:pPr>
    </w:p>
    <w:p w14:paraId="1BA2F5F3">
      <w:pPr>
        <w:pStyle w:val="2"/>
        <w:spacing w:line="247" w:lineRule="auto"/>
        <w:rPr>
          <w:color w:val="auto"/>
          <w:lang w:eastAsia="zh-CN"/>
        </w:rPr>
      </w:pPr>
    </w:p>
    <w:p w14:paraId="3A0C45ED">
      <w:pPr>
        <w:pStyle w:val="2"/>
        <w:spacing w:line="247" w:lineRule="auto"/>
        <w:rPr>
          <w:color w:val="auto"/>
          <w:lang w:eastAsia="zh-CN"/>
        </w:rPr>
      </w:pPr>
    </w:p>
    <w:p w14:paraId="3C4C461C">
      <w:pPr>
        <w:pStyle w:val="2"/>
        <w:spacing w:line="247" w:lineRule="auto"/>
        <w:rPr>
          <w:color w:val="auto"/>
          <w:lang w:eastAsia="zh-CN"/>
        </w:rPr>
      </w:pPr>
    </w:p>
    <w:p w14:paraId="4D22C176">
      <w:pPr>
        <w:pStyle w:val="2"/>
        <w:spacing w:line="247" w:lineRule="auto"/>
        <w:rPr>
          <w:rFonts w:hint="eastAsia" w:ascii="楷体" w:hAnsi="楷体" w:eastAsia="楷体" w:cs="楷体"/>
          <w:b/>
          <w:bCs/>
          <w:color w:val="auto"/>
          <w:sz w:val="47"/>
          <w:szCs w:val="47"/>
          <w:lang w:eastAsia="zh-CN"/>
        </w:rPr>
      </w:pPr>
    </w:p>
    <w:p w14:paraId="3B2EAF3C">
      <w:pPr>
        <w:pStyle w:val="2"/>
        <w:spacing w:line="247" w:lineRule="auto"/>
        <w:jc w:val="center"/>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eastAsia="zh-CN"/>
        </w:rPr>
        <w:t>广州越秀</w:t>
      </w:r>
    </w:p>
    <w:p w14:paraId="0E5C1F42">
      <w:pPr>
        <w:spacing w:before="153" w:line="220" w:lineRule="auto"/>
        <w:jc w:val="center"/>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eastAsia="zh-CN"/>
        </w:rPr>
        <w:t>二 ○ 二五</w:t>
      </w:r>
    </w:p>
    <w:p w14:paraId="1AACBE0C">
      <w:pPr>
        <w:spacing w:before="153" w:line="220" w:lineRule="auto"/>
        <w:jc w:val="center"/>
        <w:rPr>
          <w:rFonts w:ascii="Times New Roman" w:hAnsi="Times New Roman" w:eastAsia="仿宋_GB2312" w:cs="Times New Roman"/>
          <w:snapToGrid/>
          <w:color w:val="auto"/>
          <w:kern w:val="2"/>
          <w:sz w:val="32"/>
          <w:szCs w:val="32"/>
          <w:lang w:eastAsia="zh-CN"/>
        </w:rPr>
      </w:pPr>
    </w:p>
    <w:p w14:paraId="7003A048">
      <w:pPr>
        <w:spacing w:before="153" w:line="220" w:lineRule="auto"/>
        <w:ind w:firstLine="3290" w:firstLineChars="700"/>
        <w:rPr>
          <w:rFonts w:hint="eastAsia" w:ascii="楷体" w:hAnsi="楷体" w:eastAsia="楷体" w:cs="楷体"/>
          <w:color w:val="auto"/>
          <w:sz w:val="47"/>
          <w:szCs w:val="47"/>
          <w:lang w:eastAsia="zh-CN"/>
        </w:rPr>
      </w:pPr>
    </w:p>
    <w:p w14:paraId="5628E6C3">
      <w:pPr>
        <w:spacing w:before="153" w:line="220" w:lineRule="auto"/>
        <w:ind w:firstLine="3290" w:firstLineChars="700"/>
        <w:rPr>
          <w:rFonts w:hint="eastAsia" w:ascii="楷体" w:hAnsi="楷体" w:eastAsia="楷体" w:cs="楷体"/>
          <w:color w:val="auto"/>
          <w:sz w:val="47"/>
          <w:szCs w:val="47"/>
          <w:lang w:eastAsia="zh-CN"/>
        </w:rPr>
        <w:sectPr>
          <w:footerReference r:id="rId3" w:type="default"/>
          <w:pgSz w:w="11906" w:h="16839"/>
          <w:pgMar w:top="1440" w:right="1800" w:bottom="1440" w:left="1800" w:header="0" w:footer="0" w:gutter="0"/>
          <w:cols w:space="720" w:num="1"/>
        </w:sectPr>
      </w:pPr>
    </w:p>
    <w:p w14:paraId="7A29A360">
      <w:pPr>
        <w:widowControl w:val="0"/>
        <w:kinsoku/>
        <w:autoSpaceDE/>
        <w:autoSpaceDN/>
        <w:adjustRightInd/>
        <w:snapToGrid/>
        <w:spacing w:line="600" w:lineRule="exact"/>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eastAsia="zh-CN"/>
        </w:rPr>
        <w:t>甲方：广州市越秀区人民政府</w:t>
      </w:r>
    </w:p>
    <w:p w14:paraId="2A6D803B">
      <w:pPr>
        <w:widowControl w:val="0"/>
        <w:kinsoku/>
        <w:autoSpaceDE/>
        <w:autoSpaceDN/>
        <w:adjustRightInd/>
        <w:snapToGrid/>
        <w:spacing w:line="600" w:lineRule="exact"/>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eastAsia="zh-CN"/>
        </w:rPr>
        <w:t>法定代表人：罗光华</w:t>
      </w:r>
    </w:p>
    <w:p w14:paraId="45DD0FB4">
      <w:pPr>
        <w:widowControl w:val="0"/>
        <w:kinsoku/>
        <w:autoSpaceDE/>
        <w:autoSpaceDN/>
        <w:adjustRightInd/>
        <w:snapToGrid/>
        <w:spacing w:line="600" w:lineRule="exact"/>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eastAsia="zh-CN"/>
        </w:rPr>
        <w:t>地址：广州市越秀区越华路</w:t>
      </w:r>
      <w:r>
        <w:rPr>
          <w:rFonts w:ascii="Times New Roman" w:hAnsi="Times New Roman" w:eastAsia="仿宋_GB2312" w:cs="Times New Roman"/>
          <w:snapToGrid/>
          <w:color w:val="auto"/>
          <w:kern w:val="2"/>
          <w:sz w:val="32"/>
          <w:szCs w:val="32"/>
          <w:lang w:eastAsia="zh-CN"/>
        </w:rPr>
        <w:t>183</w:t>
      </w:r>
      <w:r>
        <w:rPr>
          <w:rFonts w:hint="eastAsia" w:ascii="Times New Roman" w:hAnsi="Times New Roman" w:eastAsia="仿宋_GB2312" w:cs="Times New Roman"/>
          <w:snapToGrid/>
          <w:color w:val="auto"/>
          <w:kern w:val="2"/>
          <w:sz w:val="32"/>
          <w:szCs w:val="32"/>
          <w:lang w:eastAsia="zh-CN"/>
        </w:rPr>
        <w:t>号</w:t>
      </w:r>
    </w:p>
    <w:p w14:paraId="4CB0560A">
      <w:pPr>
        <w:widowControl w:val="0"/>
        <w:kinsoku/>
        <w:autoSpaceDE/>
        <w:autoSpaceDN/>
        <w:adjustRightInd/>
        <w:snapToGrid/>
        <w:spacing w:line="600" w:lineRule="exact"/>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eastAsia="zh-CN"/>
        </w:rPr>
        <w:t>邮编：510030</w:t>
      </w:r>
    </w:p>
    <w:p w14:paraId="23E19BD2">
      <w:pPr>
        <w:widowControl w:val="0"/>
        <w:kinsoku/>
        <w:autoSpaceDE/>
        <w:autoSpaceDN/>
        <w:adjustRightInd/>
        <w:snapToGrid/>
        <w:spacing w:line="600" w:lineRule="exact"/>
        <w:jc w:val="both"/>
        <w:textAlignment w:val="auto"/>
        <w:rPr>
          <w:rFonts w:ascii="Times New Roman" w:hAnsi="Times New Roman" w:eastAsia="仿宋_GB2312" w:cs="Times New Roman"/>
          <w:snapToGrid/>
          <w:color w:val="auto"/>
          <w:kern w:val="2"/>
          <w:sz w:val="32"/>
          <w:szCs w:val="32"/>
          <w:lang w:eastAsia="zh-CN"/>
        </w:rPr>
      </w:pPr>
    </w:p>
    <w:p w14:paraId="21238721">
      <w:pPr>
        <w:widowControl w:val="0"/>
        <w:kinsoku/>
        <w:autoSpaceDE/>
        <w:autoSpaceDN/>
        <w:adjustRightInd/>
        <w:snapToGrid/>
        <w:spacing w:line="600" w:lineRule="exact"/>
        <w:jc w:val="both"/>
        <w:textAlignment w:val="auto"/>
        <w:rPr>
          <w:rFonts w:ascii="Times New Roman" w:hAnsi="Times New Roman" w:eastAsia="仿宋_GB2312" w:cs="Times New Roman"/>
          <w:snapToGrid/>
          <w:color w:val="auto"/>
          <w:kern w:val="2"/>
          <w:sz w:val="32"/>
          <w:szCs w:val="32"/>
          <w:lang w:eastAsia="zh-CN"/>
        </w:rPr>
      </w:pPr>
    </w:p>
    <w:p w14:paraId="6B03CD89">
      <w:pPr>
        <w:widowControl w:val="0"/>
        <w:kinsoku/>
        <w:autoSpaceDE/>
        <w:autoSpaceDN/>
        <w:adjustRightInd/>
        <w:snapToGrid/>
        <w:spacing w:line="600" w:lineRule="exact"/>
        <w:jc w:val="both"/>
        <w:textAlignment w:val="auto"/>
        <w:rPr>
          <w:rFonts w:ascii="Times New Roman" w:hAnsi="Times New Roman" w:eastAsia="仿宋_GB2312" w:cs="Times New Roman"/>
          <w:snapToGrid/>
          <w:color w:val="auto"/>
          <w:kern w:val="2"/>
          <w:sz w:val="32"/>
          <w:szCs w:val="32"/>
          <w:lang w:eastAsia="zh-CN"/>
        </w:rPr>
      </w:pPr>
    </w:p>
    <w:p w14:paraId="0BF0E4BA">
      <w:pPr>
        <w:widowControl w:val="0"/>
        <w:kinsoku/>
        <w:autoSpaceDE/>
        <w:autoSpaceDN/>
        <w:adjustRightInd/>
        <w:snapToGrid/>
        <w:spacing w:line="600" w:lineRule="exact"/>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eastAsia="zh-CN"/>
        </w:rPr>
        <w:t>乙方：中国邮政储蓄银行股份有限公司广州市分行</w:t>
      </w:r>
    </w:p>
    <w:p w14:paraId="33837309">
      <w:pPr>
        <w:widowControl w:val="0"/>
        <w:kinsoku/>
        <w:autoSpaceDE/>
        <w:autoSpaceDN/>
        <w:adjustRightInd/>
        <w:snapToGrid/>
        <w:spacing w:line="600" w:lineRule="exact"/>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eastAsia="zh-CN"/>
        </w:rPr>
        <w:t>负责人： 苏耀燊</w:t>
      </w:r>
    </w:p>
    <w:p w14:paraId="54E0F457">
      <w:pPr>
        <w:widowControl w:val="0"/>
        <w:kinsoku/>
        <w:autoSpaceDE/>
        <w:autoSpaceDN/>
        <w:adjustRightInd/>
        <w:snapToGrid/>
        <w:spacing w:line="600" w:lineRule="exact"/>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eastAsia="zh-CN"/>
        </w:rPr>
        <w:t>地址：  广州市越秀区越秀南路204号、206号、208号101、201、301、401、501、601、701、801、901、1001、1101、1201、1301、1401、1501、1601、1701</w:t>
      </w:r>
    </w:p>
    <w:p w14:paraId="550A7FCD">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auto"/>
          <w:kern w:val="2"/>
          <w:sz w:val="32"/>
          <w:szCs w:val="32"/>
          <w:lang w:val="en-US" w:eastAsia="zh-CN"/>
        </w:rPr>
        <w:sectPr>
          <w:footerReference r:id="rId4" w:type="default"/>
          <w:pgSz w:w="11906" w:h="16839"/>
          <w:pgMar w:top="1440" w:right="1800" w:bottom="1440" w:left="1800" w:header="0" w:footer="0" w:gutter="0"/>
          <w:pgNumType w:start="1"/>
          <w:cols w:space="720" w:num="1"/>
        </w:sectPr>
      </w:pPr>
      <w:r>
        <w:rPr>
          <w:rFonts w:hint="eastAsia" w:ascii="Times New Roman" w:hAnsi="Times New Roman" w:eastAsia="仿宋_GB2312" w:cs="Times New Roman"/>
          <w:snapToGrid/>
          <w:color w:val="auto"/>
          <w:kern w:val="2"/>
          <w:sz w:val="32"/>
          <w:szCs w:val="32"/>
          <w:lang w:eastAsia="zh-CN"/>
        </w:rPr>
        <w:t>邮编：</w:t>
      </w:r>
      <w:r>
        <w:rPr>
          <w:rFonts w:ascii="Times New Roman" w:hAnsi="Times New Roman" w:eastAsia="仿宋_GB2312" w:cs="Times New Roman"/>
          <w:snapToGrid/>
          <w:color w:val="auto"/>
          <w:kern w:val="2"/>
          <w:sz w:val="32"/>
          <w:szCs w:val="32"/>
          <w:lang w:eastAsia="zh-CN"/>
        </w:rPr>
        <w:t>51</w:t>
      </w:r>
      <w:r>
        <w:rPr>
          <w:rFonts w:hint="eastAsia" w:ascii="Times New Roman" w:hAnsi="Times New Roman" w:eastAsia="仿宋_GB2312" w:cs="Times New Roman"/>
          <w:snapToGrid/>
          <w:color w:val="auto"/>
          <w:kern w:val="2"/>
          <w:sz w:val="32"/>
          <w:szCs w:val="32"/>
          <w:lang w:val="en-US" w:eastAsia="zh-CN"/>
        </w:rPr>
        <w:t>0000</w:t>
      </w:r>
    </w:p>
    <w:p w14:paraId="0ED5BF48">
      <w:pPr>
        <w:widowControl w:val="0"/>
        <w:kinsoku/>
        <w:overflowPunct w:val="0"/>
        <w:spacing w:line="579" w:lineRule="exact"/>
        <w:ind w:firstLine="640" w:firstLineChars="200"/>
        <w:jc w:val="both"/>
        <w:textAlignment w:val="auto"/>
        <w:rPr>
          <w:rFonts w:ascii="Times New Roman" w:hAnsi="Times New Roman" w:eastAsia="仿宋_GB2312" w:cs="Times New Roman"/>
          <w:snapToGrid/>
          <w:color w:val="auto"/>
          <w:kern w:val="2"/>
          <w:sz w:val="32"/>
          <w:szCs w:val="32"/>
          <w:lang w:eastAsia="zh-CN"/>
        </w:rPr>
      </w:pPr>
      <w:bookmarkStart w:id="0" w:name="OLE_LINK2"/>
      <w:r>
        <w:rPr>
          <w:rFonts w:hint="eastAsia" w:ascii="Times New Roman" w:hAnsi="Times New Roman" w:eastAsia="仿宋_GB2312" w:cs="Times New Roman"/>
          <w:snapToGrid/>
          <w:color w:val="auto"/>
          <w:kern w:val="2"/>
          <w:sz w:val="32"/>
          <w:szCs w:val="32"/>
          <w:lang w:eastAsia="zh-CN"/>
        </w:rPr>
        <w:t>为深入贯彻习近平新时代中国特色社会主义思想，全面落实党的二十大和二十届二中、三中全会以及中央经济工作会议精神，助推广州市越秀区高质量发展。</w:t>
      </w:r>
      <w:bookmarkEnd w:id="0"/>
      <w:r>
        <w:rPr>
          <w:rFonts w:hint="eastAsia" w:ascii="Times New Roman" w:hAnsi="Times New Roman" w:eastAsia="仿宋_GB2312" w:cs="Times New Roman"/>
          <w:snapToGrid/>
          <w:color w:val="auto"/>
          <w:kern w:val="2"/>
          <w:sz w:val="32"/>
          <w:szCs w:val="32"/>
          <w:lang w:eastAsia="zh-CN"/>
        </w:rPr>
        <w:t>广州越秀区人民政府(以下简称“甲方”)与中国邮政储蓄银行股份有限公司广州市分行(以下简称“乙方”) 经友好协商，签订本战略合作协议(以下简称“本协议”)。</w:t>
      </w:r>
    </w:p>
    <w:p w14:paraId="3917DE89">
      <w:pPr>
        <w:spacing w:line="360" w:lineRule="auto"/>
        <w:ind w:right="113" w:firstLine="652" w:firstLineChars="200"/>
        <w:jc w:val="both"/>
        <w:rPr>
          <w:rFonts w:hint="eastAsia" w:ascii="仿宋" w:hAnsi="仿宋" w:eastAsia="仿宋" w:cs="仿宋"/>
          <w:color w:val="auto"/>
          <w:spacing w:val="3"/>
          <w:sz w:val="32"/>
          <w:szCs w:val="32"/>
          <w:lang w:eastAsia="zh-CN"/>
        </w:rPr>
      </w:pPr>
    </w:p>
    <w:p w14:paraId="63C0FC25">
      <w:pPr>
        <w:overflowPunct w:val="0"/>
        <w:spacing w:line="579" w:lineRule="exact"/>
        <w:jc w:val="center"/>
        <w:rPr>
          <w:rFonts w:ascii="Times New Roman" w:hAnsi="Times New Roman" w:eastAsia="方正黑体_GBK" w:cs="Times New Roman"/>
          <w:color w:val="auto"/>
          <w:sz w:val="32"/>
          <w:szCs w:val="32"/>
          <w:lang w:eastAsia="zh-CN"/>
        </w:rPr>
      </w:pPr>
      <w:r>
        <w:rPr>
          <w:rFonts w:ascii="Times New Roman" w:hAnsi="Times New Roman" w:eastAsia="方正黑体_GBK" w:cs="Times New Roman"/>
          <w:color w:val="auto"/>
          <w:sz w:val="32"/>
          <w:szCs w:val="32"/>
          <w:lang w:eastAsia="zh-CN"/>
        </w:rPr>
        <w:t>第一章  合作原则</w:t>
      </w:r>
    </w:p>
    <w:p w14:paraId="7D95F121">
      <w:pPr>
        <w:overflowPunct w:val="0"/>
        <w:spacing w:line="579" w:lineRule="exact"/>
        <w:jc w:val="center"/>
        <w:rPr>
          <w:rFonts w:ascii="Times New Roman" w:hAnsi="Times New Roman" w:eastAsia="方正黑体_GBK" w:cs="Times New Roman"/>
          <w:color w:val="auto"/>
          <w:sz w:val="32"/>
          <w:szCs w:val="32"/>
          <w:lang w:eastAsia="zh-CN"/>
        </w:rPr>
      </w:pPr>
    </w:p>
    <w:p w14:paraId="7BE31F5A">
      <w:pPr>
        <w:spacing w:before="6" w:line="360" w:lineRule="auto"/>
        <w:ind w:left="19" w:right="88" w:firstLine="637"/>
        <w:jc w:val="both"/>
        <w:rPr>
          <w:rFonts w:hint="eastAsia" w:ascii="仿宋" w:hAnsi="仿宋" w:eastAsia="仿宋" w:cs="仿宋"/>
          <w:color w:val="auto"/>
          <w:spacing w:val="11"/>
          <w:sz w:val="32"/>
          <w:szCs w:val="32"/>
          <w:lang w:eastAsia="zh-CN"/>
        </w:rPr>
      </w:pPr>
      <w:r>
        <w:rPr>
          <w:rFonts w:hint="eastAsia" w:ascii="Times New Roman" w:hAnsi="Times New Roman" w:eastAsia="楷体_GB2312" w:cs="Times New Roman"/>
          <w:snapToGrid/>
          <w:color w:val="auto"/>
          <w:kern w:val="2"/>
          <w:sz w:val="32"/>
          <w:szCs w:val="32"/>
          <w:lang w:eastAsia="zh-CN"/>
        </w:rPr>
        <w:t xml:space="preserve">第一条 </w:t>
      </w:r>
      <w:r>
        <w:rPr>
          <w:rFonts w:ascii="Times New Roman" w:hAnsi="Times New Roman" w:eastAsia="仿宋_GB2312" w:cs="Times New Roman"/>
          <w:snapToGrid/>
          <w:color w:val="auto"/>
          <w:kern w:val="2"/>
          <w:sz w:val="32"/>
          <w:szCs w:val="32"/>
          <w:lang w:eastAsia="zh-CN"/>
        </w:rPr>
        <w:t>甲、乙双方本着长期合作、互惠互利、共同推动高质量发展的原则，建立政银战略合作关系</w:t>
      </w:r>
      <w:r>
        <w:rPr>
          <w:rFonts w:hint="eastAsia" w:ascii="Times New Roman" w:hAnsi="Times New Roman" w:eastAsia="仿宋_GB2312" w:cs="Times New Roman"/>
          <w:snapToGrid/>
          <w:color w:val="auto"/>
          <w:kern w:val="2"/>
          <w:sz w:val="32"/>
          <w:szCs w:val="32"/>
          <w:lang w:eastAsia="zh-CN"/>
        </w:rPr>
        <w:t>。</w:t>
      </w:r>
      <w:bookmarkStart w:id="1" w:name="OLE_LINK3"/>
      <w:r>
        <w:rPr>
          <w:rFonts w:hint="eastAsia" w:ascii="Times New Roman" w:hAnsi="Times New Roman" w:eastAsia="仿宋_GB2312" w:cs="Times New Roman"/>
          <w:snapToGrid/>
          <w:color w:val="auto"/>
          <w:kern w:val="2"/>
          <w:sz w:val="32"/>
          <w:szCs w:val="32"/>
          <w:lang w:eastAsia="zh-CN"/>
        </w:rPr>
        <w:t>甲、乙双方在国家政策与法律法规许可的范畴内，甲方支持乙方在越秀区经济社会建设中发挥重要作用，于政府职责范围内，对乙方在该区域优化金融布局、业务拓展及市场开拓等工作予以支持。乙方则将甲方及其重点引进的企业与人才视作重要客户，充分运用自身服务资源与产品优势，全力为地方经济发展贡献力量。</w:t>
      </w:r>
      <w:r>
        <w:rPr>
          <w:rFonts w:hint="eastAsia" w:ascii="Times New Roman" w:hAnsi="Times New Roman" w:eastAsia="仿宋_GB2312" w:cs="Times New Roman"/>
          <w:snapToGrid/>
          <w:color w:val="auto"/>
          <w:kern w:val="2"/>
          <w:sz w:val="32"/>
          <w:szCs w:val="32"/>
          <w:lang w:val="en-US" w:eastAsia="zh-CN"/>
        </w:rPr>
        <w:t>合作领域涵盖</w:t>
      </w:r>
      <w:r>
        <w:rPr>
          <w:rFonts w:hint="eastAsia" w:ascii="Times New Roman" w:hAnsi="Times New Roman" w:eastAsia="仿宋_GB2312" w:cs="Times New Roman"/>
          <w:snapToGrid/>
          <w:color w:val="auto"/>
          <w:kern w:val="2"/>
          <w:sz w:val="32"/>
          <w:szCs w:val="32"/>
          <w:lang w:eastAsia="zh-CN"/>
        </w:rPr>
        <w:t>产业升级与科技创新、普惠金融、绿美越秀、乡村振兴、改善民生等。</w:t>
      </w:r>
      <w:bookmarkEnd w:id="1"/>
    </w:p>
    <w:p w14:paraId="3C717ABD">
      <w:pPr>
        <w:spacing w:before="6" w:line="360" w:lineRule="auto"/>
        <w:ind w:left="19" w:right="88" w:firstLine="637"/>
        <w:jc w:val="both"/>
        <w:rPr>
          <w:rFonts w:hint="eastAsia" w:ascii="仿宋" w:hAnsi="仿宋" w:eastAsia="仿宋" w:cs="仿宋"/>
          <w:color w:val="auto"/>
          <w:spacing w:val="11"/>
          <w:sz w:val="32"/>
          <w:szCs w:val="32"/>
          <w:lang w:eastAsia="zh-CN"/>
        </w:rPr>
      </w:pPr>
    </w:p>
    <w:p w14:paraId="62C718BD">
      <w:pPr>
        <w:overflowPunct w:val="0"/>
        <w:spacing w:line="579" w:lineRule="exact"/>
        <w:jc w:val="center"/>
        <w:rPr>
          <w:rFonts w:ascii="Times New Roman" w:hAnsi="Times New Roman" w:eastAsia="方正黑体_GBK" w:cs="Times New Roman"/>
          <w:color w:val="auto"/>
          <w:sz w:val="32"/>
          <w:szCs w:val="32"/>
          <w:lang w:eastAsia="zh-CN"/>
        </w:rPr>
      </w:pPr>
      <w:r>
        <w:rPr>
          <w:rFonts w:ascii="Times New Roman" w:hAnsi="Times New Roman" w:eastAsia="方正黑体_GBK" w:cs="Times New Roman"/>
          <w:color w:val="auto"/>
          <w:sz w:val="32"/>
          <w:szCs w:val="32"/>
          <w:lang w:eastAsia="zh-CN"/>
        </w:rPr>
        <w:t>第二章  合作内容</w:t>
      </w:r>
    </w:p>
    <w:p w14:paraId="0B0CE840">
      <w:pPr>
        <w:overflowPunct w:val="0"/>
        <w:spacing w:line="579" w:lineRule="exact"/>
        <w:jc w:val="center"/>
        <w:rPr>
          <w:rFonts w:ascii="Times New Roman" w:hAnsi="Times New Roman" w:eastAsia="方正黑体_GBK" w:cs="Times New Roman"/>
          <w:color w:val="auto"/>
          <w:sz w:val="32"/>
          <w:szCs w:val="32"/>
          <w:lang w:eastAsia="zh-CN"/>
        </w:rPr>
      </w:pPr>
    </w:p>
    <w:p w14:paraId="09368DB6">
      <w:pPr>
        <w:spacing w:before="120" w:beforeLines="50" w:line="600" w:lineRule="exact"/>
        <w:ind w:firstLine="640" w:firstLineChars="200"/>
        <w:jc w:val="both"/>
        <w:rPr>
          <w:rFonts w:ascii="Times New Roman" w:hAnsi="Times New Roman" w:eastAsia="仿宋_GB2312" w:cs="Times New Roman"/>
          <w:snapToGrid/>
          <w:color w:val="auto"/>
          <w:kern w:val="2"/>
          <w:sz w:val="32"/>
          <w:szCs w:val="32"/>
          <w:lang w:eastAsia="zh-CN"/>
        </w:rPr>
      </w:pPr>
      <w:r>
        <w:rPr>
          <w:rFonts w:hint="eastAsia" w:ascii="Times New Roman" w:hAnsi="Times New Roman" w:eastAsia="楷体_GB2312" w:cs="Times New Roman"/>
          <w:snapToGrid/>
          <w:color w:val="auto"/>
          <w:kern w:val="2"/>
          <w:sz w:val="32"/>
          <w:szCs w:val="32"/>
          <w:lang w:eastAsia="zh-CN"/>
        </w:rPr>
        <w:t>第</w:t>
      </w:r>
      <w:r>
        <w:rPr>
          <w:rFonts w:hint="eastAsia" w:ascii="Times New Roman" w:hAnsi="Times New Roman" w:eastAsia="楷体_GB2312" w:cs="Times New Roman"/>
          <w:snapToGrid/>
          <w:color w:val="auto"/>
          <w:kern w:val="2"/>
          <w:sz w:val="32"/>
          <w:szCs w:val="32"/>
          <w:lang w:val="en-US" w:eastAsia="zh-CN"/>
        </w:rPr>
        <w:t>二</w:t>
      </w:r>
      <w:r>
        <w:rPr>
          <w:rFonts w:hint="eastAsia" w:ascii="Times New Roman" w:hAnsi="Times New Roman" w:eastAsia="楷体_GB2312" w:cs="Times New Roman"/>
          <w:snapToGrid/>
          <w:color w:val="auto"/>
          <w:kern w:val="2"/>
          <w:sz w:val="32"/>
          <w:szCs w:val="32"/>
          <w:lang w:eastAsia="zh-CN"/>
        </w:rPr>
        <w:t>条</w:t>
      </w:r>
      <w:r>
        <w:rPr>
          <w:rFonts w:hint="eastAsia" w:ascii="Times New Roman" w:hAnsi="Times New Roman" w:eastAsia="仿宋_GB2312" w:cs="Times New Roman"/>
          <w:snapToGrid/>
          <w:color w:val="auto"/>
          <w:kern w:val="2"/>
          <w:sz w:val="32"/>
          <w:szCs w:val="32"/>
          <w:lang w:eastAsia="zh-CN"/>
        </w:rPr>
        <w:t xml:space="preserve"> 在依法合规和遵守市场公平竞争的前提下：</w:t>
      </w:r>
      <w:r>
        <w:rPr>
          <w:rFonts w:hint="eastAsia" w:ascii="Times New Roman" w:hAnsi="Times New Roman" w:eastAsia="仿宋_GB2312" w:cs="Times New Roman"/>
          <w:snapToGrid/>
          <w:color w:val="auto"/>
          <w:kern w:val="2"/>
          <w:sz w:val="32"/>
          <w:szCs w:val="32"/>
          <w:lang w:val="en-US" w:eastAsia="zh-CN"/>
        </w:rPr>
        <w:t>未来5年，</w:t>
      </w:r>
      <w:r>
        <w:rPr>
          <w:rFonts w:hint="eastAsia" w:ascii="Times New Roman" w:hAnsi="Times New Roman" w:eastAsia="仿宋_GB2312" w:cs="Times New Roman"/>
          <w:snapToGrid/>
          <w:color w:val="auto"/>
          <w:kern w:val="2"/>
          <w:sz w:val="32"/>
          <w:szCs w:val="32"/>
          <w:lang w:eastAsia="zh-CN"/>
        </w:rPr>
        <w:t>甲方支持乙方将越秀区列为重点支持区域，乙方依托自身综合金融服务优势，对甲方辖区内规划重点项目及重点领域给予金融支持。乙方力争为越秀区各类建设项目及各类客群提供综合性融资支持。</w:t>
      </w:r>
    </w:p>
    <w:p w14:paraId="0CE723E9">
      <w:pPr>
        <w:spacing w:before="120" w:beforeLines="50" w:line="600" w:lineRule="exact"/>
        <w:ind w:firstLine="640" w:firstLineChars="200"/>
        <w:jc w:val="both"/>
        <w:rPr>
          <w:lang w:eastAsia="zh-CN"/>
        </w:rPr>
      </w:pPr>
      <w:r>
        <w:rPr>
          <w:rFonts w:hint="eastAsia" w:ascii="Times New Roman" w:hAnsi="Times New Roman" w:eastAsia="楷体_GB2312" w:cs="Times New Roman"/>
          <w:snapToGrid/>
          <w:color w:val="auto"/>
          <w:kern w:val="2"/>
          <w:sz w:val="32"/>
          <w:szCs w:val="32"/>
          <w:lang w:eastAsia="zh-CN"/>
        </w:rPr>
        <w:t>（一）</w:t>
      </w:r>
      <w:r>
        <w:rPr>
          <w:rFonts w:ascii="Times New Roman" w:hAnsi="Times New Roman" w:eastAsia="楷体_GB2312" w:cs="Times New Roman"/>
          <w:snapToGrid/>
          <w:color w:val="auto"/>
          <w:kern w:val="2"/>
          <w:sz w:val="32"/>
          <w:szCs w:val="32"/>
          <w:lang w:eastAsia="zh-CN"/>
        </w:rPr>
        <w:t>助力</w:t>
      </w:r>
      <w:r>
        <w:rPr>
          <w:rFonts w:hint="eastAsia" w:ascii="Times New Roman" w:hAnsi="Times New Roman" w:eastAsia="楷体_GB2312" w:cs="Times New Roman"/>
          <w:snapToGrid/>
          <w:color w:val="auto"/>
          <w:kern w:val="2"/>
          <w:sz w:val="32"/>
          <w:szCs w:val="32"/>
          <w:lang w:eastAsia="zh-CN"/>
        </w:rPr>
        <w:t>优化产业体系</w:t>
      </w:r>
    </w:p>
    <w:p w14:paraId="1A595C3E">
      <w:pPr>
        <w:spacing w:before="120" w:beforeLines="50" w:line="600" w:lineRule="exact"/>
        <w:ind w:firstLine="643" w:firstLineChars="200"/>
        <w:jc w:val="both"/>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1</w:t>
      </w:r>
      <w:r>
        <w:rPr>
          <w:rFonts w:ascii="Times New Roman" w:hAnsi="Times New Roman" w:eastAsia="仿宋_GB2312" w:cs="Times New Roman"/>
          <w:b/>
          <w:bCs/>
          <w:snapToGrid/>
          <w:color w:val="auto"/>
          <w:kern w:val="2"/>
          <w:sz w:val="32"/>
          <w:szCs w:val="32"/>
          <w:lang w:eastAsia="zh-CN"/>
        </w:rPr>
        <w:t>.</w:t>
      </w:r>
      <w:r>
        <w:rPr>
          <w:rFonts w:hint="eastAsia" w:ascii="Times New Roman" w:hAnsi="Times New Roman" w:eastAsia="仿宋_GB2312" w:cs="Times New Roman"/>
          <w:b/>
          <w:bCs/>
          <w:snapToGrid/>
          <w:color w:val="auto"/>
          <w:kern w:val="2"/>
          <w:sz w:val="32"/>
          <w:szCs w:val="32"/>
          <w:lang w:val="en-US" w:eastAsia="zh-CN"/>
        </w:rPr>
        <w:t>共建</w:t>
      </w:r>
      <w:r>
        <w:rPr>
          <w:rFonts w:ascii="Times New Roman" w:hAnsi="Times New Roman" w:eastAsia="仿宋_GB2312" w:cs="Times New Roman"/>
          <w:b/>
          <w:bCs/>
          <w:snapToGrid/>
          <w:color w:val="auto"/>
          <w:kern w:val="2"/>
          <w:sz w:val="32"/>
          <w:szCs w:val="32"/>
          <w:lang w:eastAsia="zh-CN"/>
        </w:rPr>
        <w:t>现代产业体系建设。</w:t>
      </w:r>
      <w:r>
        <w:rPr>
          <w:rFonts w:ascii="Times New Roman" w:hAnsi="Times New Roman" w:eastAsia="仿宋_GB2312" w:cs="Times New Roman"/>
          <w:snapToGrid/>
          <w:color w:val="auto"/>
          <w:kern w:val="2"/>
          <w:sz w:val="32"/>
          <w:szCs w:val="32"/>
          <w:lang w:eastAsia="zh-CN"/>
        </w:rPr>
        <w:t>甲方支持乙方积极对接战略性产业集群政策，助力</w:t>
      </w:r>
      <w:r>
        <w:rPr>
          <w:rFonts w:hint="eastAsia" w:ascii="Times New Roman" w:hAnsi="Times New Roman" w:eastAsia="仿宋_GB2312" w:cs="Times New Roman"/>
          <w:snapToGrid/>
          <w:color w:val="auto"/>
          <w:kern w:val="2"/>
          <w:sz w:val="32"/>
          <w:szCs w:val="32"/>
          <w:lang w:eastAsia="zh-CN"/>
        </w:rPr>
        <w:t>越秀区</w:t>
      </w:r>
      <w:r>
        <w:rPr>
          <w:rFonts w:ascii="Times New Roman" w:hAnsi="Times New Roman" w:eastAsia="仿宋_GB2312" w:cs="Times New Roman"/>
          <w:snapToGrid/>
          <w:color w:val="auto"/>
          <w:kern w:val="2"/>
          <w:sz w:val="32"/>
          <w:szCs w:val="32"/>
          <w:lang w:eastAsia="zh-CN"/>
        </w:rPr>
        <w:t>战略性新兴产业集群提质壮大，加快建设</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12218</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现代化产业体系，助推生物医药与健康产业</w:t>
      </w:r>
      <w:r>
        <w:rPr>
          <w:rFonts w:hint="eastAsia" w:ascii="Times New Roman" w:hAnsi="Times New Roman" w:eastAsia="仿宋_GB2312" w:cs="Times New Roman"/>
          <w:snapToGrid/>
          <w:color w:val="auto"/>
          <w:kern w:val="2"/>
          <w:sz w:val="32"/>
          <w:szCs w:val="32"/>
          <w:lang w:eastAsia="zh-CN"/>
        </w:rPr>
        <w:t>等</w:t>
      </w:r>
      <w:r>
        <w:rPr>
          <w:rFonts w:ascii="Times New Roman" w:hAnsi="Times New Roman" w:eastAsia="仿宋_GB2312" w:cs="Times New Roman"/>
          <w:snapToGrid/>
          <w:color w:val="auto"/>
          <w:kern w:val="2"/>
          <w:sz w:val="32"/>
          <w:szCs w:val="32"/>
          <w:lang w:eastAsia="zh-CN"/>
        </w:rPr>
        <w:t>支柱产业的稳步发展</w:t>
      </w:r>
      <w:r>
        <w:rPr>
          <w:rFonts w:hint="eastAsia" w:ascii="Times New Roman" w:hAnsi="Times New Roman" w:eastAsia="仿宋_GB2312" w:cs="Times New Roman"/>
          <w:snapToGrid/>
          <w:color w:val="auto"/>
          <w:kern w:val="2"/>
          <w:sz w:val="32"/>
          <w:szCs w:val="32"/>
          <w:lang w:eastAsia="zh-CN"/>
        </w:rPr>
        <w:t>，因地制宜发展新质生产力。</w:t>
      </w:r>
    </w:p>
    <w:p w14:paraId="71346BA5">
      <w:pPr>
        <w:spacing w:before="120" w:beforeLines="50" w:line="600" w:lineRule="exact"/>
        <w:ind w:firstLine="640" w:firstLineChars="200"/>
        <w:jc w:val="both"/>
        <w:rPr>
          <w:rFonts w:ascii="Times New Roman" w:hAnsi="Times New Roman" w:eastAsia="楷体_GB2312" w:cs="Times New Roman"/>
          <w:snapToGrid/>
          <w:color w:val="auto"/>
          <w:kern w:val="2"/>
          <w:sz w:val="32"/>
          <w:szCs w:val="32"/>
          <w:lang w:eastAsia="zh-CN"/>
        </w:rPr>
      </w:pPr>
      <w:r>
        <w:rPr>
          <w:rFonts w:ascii="Times New Roman" w:hAnsi="Times New Roman" w:eastAsia="楷体_GB2312" w:cs="Times New Roman"/>
          <w:snapToGrid/>
          <w:color w:val="auto"/>
          <w:kern w:val="2"/>
          <w:sz w:val="32"/>
          <w:szCs w:val="32"/>
          <w:lang w:eastAsia="zh-CN"/>
        </w:rPr>
        <w:t>（二）助力推动普惠金融健康发展</w:t>
      </w:r>
    </w:p>
    <w:p w14:paraId="68F89524">
      <w:pPr>
        <w:spacing w:before="120" w:beforeLines="50" w:line="600" w:lineRule="exact"/>
        <w:ind w:firstLine="643" w:firstLineChars="200"/>
        <w:jc w:val="both"/>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1.着力提升中小微企业金融服务质量。</w:t>
      </w:r>
      <w:r>
        <w:rPr>
          <w:rFonts w:ascii="Times New Roman" w:hAnsi="Times New Roman" w:eastAsia="仿宋_GB2312" w:cs="Times New Roman"/>
          <w:snapToGrid/>
          <w:color w:val="auto"/>
          <w:kern w:val="2"/>
          <w:sz w:val="32"/>
          <w:szCs w:val="32"/>
          <w:lang w:eastAsia="zh-CN"/>
        </w:rPr>
        <w:t>甲方支持乙方围绕小微企业、个体工商户</w:t>
      </w:r>
      <w:r>
        <w:rPr>
          <w:rFonts w:hint="eastAsia" w:ascii="Times New Roman" w:hAnsi="Times New Roman" w:eastAsia="仿宋_GB2312" w:cs="Times New Roman"/>
          <w:snapToGrid/>
          <w:color w:val="auto"/>
          <w:kern w:val="2"/>
          <w:sz w:val="32"/>
          <w:szCs w:val="32"/>
          <w:lang w:val="en-US" w:eastAsia="zh-CN"/>
        </w:rPr>
        <w:t>等开展相关</w:t>
      </w:r>
      <w:r>
        <w:rPr>
          <w:rFonts w:hint="eastAsia" w:eastAsia="仿宋_GB2312"/>
          <w:sz w:val="32"/>
          <w:szCs w:val="32"/>
        </w:rPr>
        <w:t>金融业务发展。乙方充分利为甲方企业提供</w:t>
      </w:r>
      <w:r>
        <w:rPr>
          <w:rFonts w:ascii="Times New Roman" w:hAnsi="Times New Roman" w:eastAsia="仿宋_GB2312" w:cs="Times New Roman"/>
          <w:snapToGrid/>
          <w:color w:val="auto"/>
          <w:kern w:val="2"/>
          <w:sz w:val="32"/>
          <w:szCs w:val="32"/>
          <w:lang w:eastAsia="zh-CN"/>
        </w:rPr>
        <w:t>包括“企业融资服务、融智服务、融通资源”的“三融”服务体系</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支持</w:t>
      </w:r>
      <w:r>
        <w:rPr>
          <w:rFonts w:hint="eastAsia" w:ascii="Times New Roman" w:hAnsi="Times New Roman" w:eastAsia="仿宋_GB2312" w:cs="Times New Roman"/>
          <w:snapToGrid/>
          <w:color w:val="auto"/>
          <w:kern w:val="2"/>
          <w:sz w:val="32"/>
          <w:szCs w:val="32"/>
          <w:lang w:eastAsia="zh-CN"/>
        </w:rPr>
        <w:t>甲方</w:t>
      </w:r>
      <w:r>
        <w:rPr>
          <w:rFonts w:ascii="Times New Roman" w:hAnsi="Times New Roman" w:eastAsia="仿宋_GB2312" w:cs="Times New Roman"/>
          <w:snapToGrid/>
          <w:color w:val="auto"/>
          <w:kern w:val="2"/>
          <w:sz w:val="32"/>
          <w:szCs w:val="32"/>
          <w:lang w:eastAsia="zh-CN"/>
        </w:rPr>
        <w:t>百县千镇万村高质量发展工程项目。</w:t>
      </w:r>
    </w:p>
    <w:p w14:paraId="3C42AB6D">
      <w:pPr>
        <w:spacing w:before="120" w:beforeLines="50" w:line="600" w:lineRule="exact"/>
        <w:ind w:firstLine="643" w:firstLineChars="200"/>
        <w:jc w:val="both"/>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2.加强政府合作平台对接。</w:t>
      </w:r>
      <w:r>
        <w:rPr>
          <w:rFonts w:hint="eastAsia" w:ascii="Times New Roman" w:hAnsi="Times New Roman" w:eastAsia="仿宋_GB2312" w:cs="Times New Roman"/>
          <w:snapToGrid/>
          <w:color w:val="auto"/>
          <w:kern w:val="2"/>
          <w:sz w:val="32"/>
          <w:szCs w:val="32"/>
          <w:lang w:eastAsia="zh-CN"/>
        </w:rPr>
        <w:t>甲方支持乙方与区发改委、</w:t>
      </w:r>
      <w:r>
        <w:rPr>
          <w:rFonts w:hint="eastAsia" w:ascii="Times New Roman" w:hAnsi="Times New Roman" w:eastAsia="仿宋_GB2312" w:cs="Times New Roman"/>
          <w:snapToGrid/>
          <w:color w:val="auto"/>
          <w:kern w:val="2"/>
          <w:sz w:val="32"/>
          <w:szCs w:val="32"/>
          <w:lang w:val="en-US" w:eastAsia="zh-CN"/>
        </w:rPr>
        <w:t>区科</w:t>
      </w:r>
      <w:r>
        <w:rPr>
          <w:rFonts w:hint="eastAsia" w:ascii="Times New Roman" w:hAnsi="Times New Roman" w:eastAsia="仿宋_GB2312" w:cs="Times New Roman"/>
          <w:snapToGrid/>
          <w:color w:val="auto"/>
          <w:kern w:val="2"/>
          <w:sz w:val="32"/>
          <w:szCs w:val="32"/>
          <w:lang w:eastAsia="zh-CN"/>
        </w:rPr>
        <w:t>工信局以及其他相关部门合作，</w:t>
      </w:r>
      <w:r>
        <w:rPr>
          <w:rFonts w:hint="eastAsia" w:ascii="Times New Roman" w:hAnsi="Times New Roman" w:eastAsia="仿宋_GB2312" w:cs="Times New Roman"/>
          <w:snapToGrid/>
          <w:color w:val="auto"/>
          <w:kern w:val="2"/>
          <w:sz w:val="32"/>
          <w:szCs w:val="32"/>
          <w:lang w:val="en-US" w:eastAsia="zh-CN"/>
        </w:rPr>
        <w:t>将</w:t>
      </w:r>
      <w:r>
        <w:rPr>
          <w:rFonts w:hint="eastAsia" w:ascii="Times New Roman" w:hAnsi="Times New Roman" w:eastAsia="仿宋_GB2312" w:cs="Times New Roman"/>
          <w:snapToGrid/>
          <w:color w:val="auto"/>
          <w:kern w:val="2"/>
          <w:sz w:val="32"/>
          <w:szCs w:val="32"/>
          <w:lang w:eastAsia="zh-CN"/>
        </w:rPr>
        <w:t>联合重点产业园区、产业链链主企业及专精特新企业集群，创新打造</w:t>
      </w:r>
      <w:r>
        <w:rPr>
          <w:rFonts w:hint="eastAsia" w:ascii="Times New Roman" w:hAnsi="Times New Roman" w:eastAsia="仿宋_GB2312" w:cs="Times New Roman"/>
          <w:snapToGrid/>
          <w:color w:val="auto"/>
          <w:kern w:val="2"/>
          <w:sz w:val="32"/>
          <w:szCs w:val="32"/>
          <w:lang w:val="en-US" w:eastAsia="zh-CN"/>
        </w:rPr>
        <w:t>政银合作体系</w:t>
      </w:r>
      <w:r>
        <w:rPr>
          <w:rFonts w:hint="eastAsia" w:ascii="Times New Roman" w:hAnsi="Times New Roman" w:eastAsia="仿宋_GB2312" w:cs="Times New Roman"/>
          <w:snapToGrid/>
          <w:color w:val="auto"/>
          <w:kern w:val="2"/>
          <w:sz w:val="32"/>
          <w:szCs w:val="32"/>
          <w:lang w:eastAsia="zh-CN"/>
        </w:rPr>
        <w:t>。</w:t>
      </w:r>
    </w:p>
    <w:p w14:paraId="25923211">
      <w:pPr>
        <w:spacing w:before="120" w:beforeLines="50" w:line="600" w:lineRule="exact"/>
        <w:ind w:firstLine="640" w:firstLineChars="200"/>
        <w:jc w:val="both"/>
        <w:rPr>
          <w:rFonts w:ascii="Times New Roman" w:hAnsi="Times New Roman" w:eastAsia="楷体_GB2312" w:cs="Times New Roman"/>
          <w:snapToGrid/>
          <w:color w:val="auto"/>
          <w:kern w:val="2"/>
          <w:sz w:val="32"/>
          <w:szCs w:val="32"/>
          <w:lang w:eastAsia="zh-CN"/>
        </w:rPr>
      </w:pPr>
      <w:r>
        <w:rPr>
          <w:rFonts w:ascii="Times New Roman" w:hAnsi="Times New Roman" w:eastAsia="楷体_GB2312" w:cs="Times New Roman"/>
          <w:snapToGrid/>
          <w:color w:val="auto"/>
          <w:kern w:val="2"/>
          <w:sz w:val="32"/>
          <w:szCs w:val="32"/>
          <w:lang w:eastAsia="zh-CN"/>
        </w:rPr>
        <w:t>（三）助力提升内外循环</w:t>
      </w:r>
    </w:p>
    <w:p w14:paraId="749771E4">
      <w:pPr>
        <w:spacing w:before="120" w:beforeLines="50" w:line="600" w:lineRule="exact"/>
        <w:ind w:firstLine="643" w:firstLineChars="200"/>
        <w:jc w:val="both"/>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1.大力推进贸易高质量发展。</w:t>
      </w:r>
      <w:r>
        <w:rPr>
          <w:rFonts w:ascii="Times New Roman" w:hAnsi="Times New Roman" w:eastAsia="仿宋_GB2312" w:cs="Times New Roman"/>
          <w:snapToGrid/>
          <w:color w:val="auto"/>
          <w:kern w:val="2"/>
          <w:sz w:val="32"/>
          <w:szCs w:val="32"/>
          <w:lang w:eastAsia="zh-CN"/>
        </w:rPr>
        <w:t>甲方支持乙方针对</w:t>
      </w:r>
      <w:r>
        <w:rPr>
          <w:rFonts w:hint="eastAsia" w:ascii="Times New Roman" w:hAnsi="Times New Roman" w:eastAsia="仿宋_GB2312" w:cs="Times New Roman"/>
          <w:snapToGrid/>
          <w:color w:val="auto"/>
          <w:kern w:val="2"/>
          <w:sz w:val="32"/>
          <w:szCs w:val="32"/>
          <w:lang w:eastAsia="zh-CN"/>
        </w:rPr>
        <w:t>越秀</w:t>
      </w:r>
      <w:r>
        <w:rPr>
          <w:rFonts w:ascii="Times New Roman" w:hAnsi="Times New Roman" w:eastAsia="仿宋_GB2312" w:cs="Times New Roman"/>
          <w:snapToGrid/>
          <w:color w:val="auto"/>
          <w:kern w:val="2"/>
          <w:sz w:val="32"/>
          <w:szCs w:val="32"/>
          <w:lang w:eastAsia="zh-CN"/>
        </w:rPr>
        <w:t>地缘优势</w:t>
      </w:r>
      <w:r>
        <w:rPr>
          <w:rFonts w:hint="eastAsia" w:ascii="Times New Roman" w:hAnsi="Times New Roman" w:eastAsia="仿宋_GB2312" w:cs="Times New Roman"/>
          <w:snapToGrid/>
          <w:color w:val="auto"/>
          <w:kern w:val="2"/>
          <w:sz w:val="32"/>
          <w:szCs w:val="32"/>
          <w:lang w:eastAsia="zh-CN"/>
        </w:rPr>
        <w:t>与</w:t>
      </w:r>
      <w:r>
        <w:rPr>
          <w:rFonts w:ascii="Times New Roman" w:hAnsi="Times New Roman" w:eastAsia="仿宋_GB2312" w:cs="Times New Roman"/>
          <w:snapToGrid/>
          <w:color w:val="auto"/>
          <w:kern w:val="2"/>
          <w:sz w:val="32"/>
          <w:szCs w:val="32"/>
          <w:lang w:eastAsia="zh-CN"/>
        </w:rPr>
        <w:t>便利政策，大力推进贸易高质量发展。</w:t>
      </w:r>
      <w:r>
        <w:rPr>
          <w:rFonts w:hint="eastAsia" w:ascii="Times New Roman" w:hAnsi="Times New Roman" w:eastAsia="仿宋_GB2312" w:cs="Times New Roman"/>
          <w:snapToGrid/>
          <w:color w:val="auto"/>
          <w:kern w:val="2"/>
          <w:sz w:val="32"/>
          <w:szCs w:val="32"/>
          <w:lang w:val="en-US" w:eastAsia="zh-CN"/>
        </w:rPr>
        <w:t>乙方</w:t>
      </w:r>
      <w:r>
        <w:rPr>
          <w:rFonts w:ascii="Times New Roman" w:hAnsi="Times New Roman" w:eastAsia="仿宋_GB2312" w:cs="Times New Roman"/>
          <w:snapToGrid/>
          <w:color w:val="auto"/>
          <w:kern w:val="2"/>
          <w:sz w:val="32"/>
          <w:szCs w:val="32"/>
          <w:lang w:eastAsia="zh-CN"/>
        </w:rPr>
        <w:t>为政府优先支持的跨境经营客户提供现汇贷款、贸易融资、境外保函等综合金融服务。</w:t>
      </w:r>
    </w:p>
    <w:p w14:paraId="26AF79FB">
      <w:pPr>
        <w:spacing w:before="120" w:beforeLines="50" w:line="600" w:lineRule="exact"/>
        <w:ind w:firstLine="643" w:firstLineChars="200"/>
        <w:jc w:val="both"/>
        <w:rPr>
          <w:rFonts w:hint="eastAsia" w:ascii="Times New Roman" w:hAnsi="Times New Roman" w:eastAsia="仿宋_GB2312" w:cs="Times New Roman"/>
          <w:b/>
          <w:bCs/>
          <w:snapToGrid/>
          <w:color w:val="auto"/>
          <w:kern w:val="2"/>
          <w:sz w:val="32"/>
          <w:szCs w:val="32"/>
          <w:highlight w:val="none"/>
          <w:lang w:val="en-US" w:eastAsia="zh-CN"/>
        </w:rPr>
      </w:pPr>
      <w:r>
        <w:rPr>
          <w:rFonts w:hint="eastAsia" w:ascii="Times New Roman" w:hAnsi="Times New Roman" w:eastAsia="仿宋_GB2312" w:cs="Times New Roman"/>
          <w:b/>
          <w:bCs/>
          <w:snapToGrid/>
          <w:color w:val="auto"/>
          <w:kern w:val="2"/>
          <w:sz w:val="32"/>
          <w:szCs w:val="32"/>
          <w:lang w:eastAsia="zh-CN"/>
        </w:rPr>
        <w:t>2</w:t>
      </w:r>
      <w:r>
        <w:rPr>
          <w:rFonts w:ascii="Times New Roman" w:hAnsi="Times New Roman" w:eastAsia="仿宋_GB2312" w:cs="Times New Roman"/>
          <w:b/>
          <w:bCs/>
          <w:snapToGrid/>
          <w:color w:val="auto"/>
          <w:kern w:val="2"/>
          <w:sz w:val="32"/>
          <w:szCs w:val="32"/>
          <w:lang w:eastAsia="zh-CN"/>
        </w:rPr>
        <w:t>.畅通国内大循环，提振消费信心</w:t>
      </w:r>
      <w:r>
        <w:rPr>
          <w:rFonts w:ascii="Times New Roman" w:hAnsi="Times New Roman" w:eastAsia="仿宋_GB2312" w:cs="Times New Roman"/>
          <w:snapToGrid/>
          <w:color w:val="auto"/>
          <w:kern w:val="2"/>
          <w:sz w:val="32"/>
          <w:szCs w:val="32"/>
          <w:lang w:eastAsia="zh-CN"/>
        </w:rPr>
        <w:t>。甲方支持乙方提供特色信用卡产品和数字人民币产品，并与头部电商平台、大型特色商圈开展促销合作</w:t>
      </w:r>
      <w:r>
        <w:rPr>
          <w:rFonts w:hint="eastAsia"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乙方</w:t>
      </w:r>
      <w:r>
        <w:rPr>
          <w:rFonts w:hint="eastAsia" w:ascii="Times New Roman" w:hAnsi="Times New Roman" w:eastAsia="仿宋_GB2312" w:cs="Times New Roman"/>
          <w:b w:val="0"/>
          <w:bCs w:val="0"/>
          <w:color w:val="auto"/>
          <w:sz w:val="32"/>
          <w:szCs w:val="32"/>
          <w:lang w:val="en-US" w:eastAsia="zh-CN"/>
        </w:rPr>
        <w:t>积极落实《关于推动越秀区数字人民币试点工作实施方案》，</w:t>
      </w:r>
      <w:r>
        <w:rPr>
          <w:rFonts w:hint="default" w:ascii="Times New Roman" w:hAnsi="Times New Roman" w:eastAsia="仿宋_GB2312" w:cs="Times New Roman"/>
          <w:b w:val="0"/>
          <w:bCs w:val="0"/>
          <w:sz w:val="32"/>
          <w:szCs w:val="32"/>
          <w:lang w:val="en-US" w:eastAsia="zh-CN"/>
        </w:rPr>
        <w:t>进一步拓展</w:t>
      </w:r>
      <w:r>
        <w:rPr>
          <w:rFonts w:hint="eastAsia" w:ascii="Times New Roman" w:hAnsi="Times New Roman" w:eastAsia="仿宋_GB2312" w:cs="Times New Roman"/>
          <w:b w:val="0"/>
          <w:bCs w:val="0"/>
          <w:sz w:val="32"/>
          <w:szCs w:val="32"/>
          <w:lang w:val="en-US" w:eastAsia="zh-CN"/>
        </w:rPr>
        <w:t>数字人民币</w:t>
      </w:r>
      <w:r>
        <w:rPr>
          <w:rFonts w:hint="default" w:ascii="Times New Roman" w:hAnsi="Times New Roman" w:eastAsia="仿宋_GB2312" w:cs="Times New Roman"/>
          <w:b w:val="0"/>
          <w:bCs w:val="0"/>
          <w:sz w:val="32"/>
          <w:szCs w:val="32"/>
          <w:lang w:val="en-US" w:eastAsia="zh-CN"/>
        </w:rPr>
        <w:t>应用领域和丰富应用场景</w:t>
      </w:r>
      <w:r>
        <w:rPr>
          <w:rFonts w:hint="eastAsia" w:ascii="Times New Roman" w:hAnsi="Times New Roman" w:eastAsia="仿宋_GB2312" w:cs="Times New Roman"/>
          <w:b w:val="0"/>
          <w:bCs w:val="0"/>
          <w:sz w:val="32"/>
          <w:szCs w:val="32"/>
          <w:lang w:val="en-US" w:eastAsia="zh-CN"/>
        </w:rPr>
        <w:t>。</w:t>
      </w:r>
    </w:p>
    <w:p w14:paraId="3F460CC2">
      <w:pPr>
        <w:spacing w:before="120" w:beforeLines="50" w:line="600" w:lineRule="exact"/>
        <w:ind w:firstLine="643" w:firstLineChars="200"/>
        <w:jc w:val="both"/>
        <w:rPr>
          <w:rFonts w:ascii="Times New Roman" w:hAnsi="Times New Roman" w:eastAsia="仿宋_GB2312" w:cs="Times New Roman"/>
          <w:snapToGrid/>
          <w:color w:val="auto"/>
          <w:kern w:val="2"/>
          <w:sz w:val="32"/>
          <w:szCs w:val="32"/>
          <w:highlight w:val="none"/>
          <w:lang w:eastAsia="zh-CN"/>
        </w:rPr>
      </w:pPr>
      <w:r>
        <w:rPr>
          <w:rFonts w:hint="eastAsia" w:ascii="Times New Roman" w:hAnsi="Times New Roman" w:eastAsia="仿宋_GB2312" w:cs="Times New Roman"/>
          <w:b/>
          <w:bCs/>
          <w:snapToGrid/>
          <w:color w:val="auto"/>
          <w:kern w:val="2"/>
          <w:sz w:val="32"/>
          <w:szCs w:val="32"/>
          <w:highlight w:val="none"/>
          <w:lang w:val="en-US" w:eastAsia="zh-CN"/>
        </w:rPr>
        <w:t>3.</w:t>
      </w:r>
      <w:r>
        <w:rPr>
          <w:rFonts w:hint="eastAsia" w:ascii="Times New Roman" w:hAnsi="Times New Roman" w:eastAsia="仿宋_GB2312" w:cs="Times New Roman"/>
          <w:b/>
          <w:bCs/>
          <w:snapToGrid/>
          <w:color w:val="auto"/>
          <w:kern w:val="2"/>
          <w:sz w:val="32"/>
          <w:szCs w:val="32"/>
          <w:highlight w:val="none"/>
          <w:lang w:eastAsia="zh-CN"/>
        </w:rPr>
        <w:t>深化政府资金合作。</w:t>
      </w:r>
      <w:r>
        <w:rPr>
          <w:rFonts w:hint="eastAsia" w:ascii="Times New Roman" w:hAnsi="Times New Roman" w:eastAsia="仿宋_GB2312" w:cs="Times New Roman"/>
          <w:b w:val="0"/>
          <w:bCs w:val="0"/>
          <w:snapToGrid/>
          <w:color w:val="auto"/>
          <w:kern w:val="2"/>
          <w:sz w:val="32"/>
          <w:szCs w:val="32"/>
          <w:highlight w:val="none"/>
          <w:lang w:eastAsia="zh-CN"/>
        </w:rPr>
        <w:t>建立专项债服务合作</w:t>
      </w:r>
      <w:r>
        <w:rPr>
          <w:rFonts w:hint="eastAsia" w:ascii="Times New Roman" w:hAnsi="Times New Roman" w:eastAsia="仿宋_GB2312" w:cs="Times New Roman"/>
          <w:b/>
          <w:bCs/>
          <w:snapToGrid/>
          <w:color w:val="auto"/>
          <w:kern w:val="2"/>
          <w:sz w:val="32"/>
          <w:szCs w:val="32"/>
          <w:highlight w:val="none"/>
          <w:lang w:eastAsia="zh-CN"/>
        </w:rPr>
        <w:t>，</w:t>
      </w:r>
      <w:r>
        <w:rPr>
          <w:rFonts w:hint="eastAsia" w:ascii="Times New Roman" w:hAnsi="Times New Roman" w:eastAsia="仿宋_GB2312" w:cs="Times New Roman"/>
          <w:snapToGrid/>
          <w:color w:val="auto"/>
          <w:kern w:val="2"/>
          <w:sz w:val="32"/>
          <w:szCs w:val="32"/>
          <w:highlight w:val="none"/>
          <w:lang w:eastAsia="zh-CN"/>
        </w:rPr>
        <w:t>甲方支持乙方为越秀区专项债项目提供全流程服务</w:t>
      </w:r>
      <w:r>
        <w:rPr>
          <w:rFonts w:hint="eastAsia" w:ascii="Times New Roman" w:hAnsi="Times New Roman" w:eastAsia="仿宋_GB2312" w:cs="Times New Roman"/>
          <w:snapToGrid/>
          <w:color w:val="auto"/>
          <w:kern w:val="2"/>
          <w:sz w:val="32"/>
          <w:szCs w:val="32"/>
          <w:highlight w:val="none"/>
          <w:lang w:eastAsia="zh-CN"/>
        </w:rPr>
        <w:t>；</w:t>
      </w:r>
      <w:r>
        <w:rPr>
          <w:rFonts w:hint="eastAsia" w:ascii="Times New Roman" w:hAnsi="Times New Roman" w:eastAsia="仿宋_GB2312" w:cs="Times New Roman"/>
          <w:snapToGrid/>
          <w:color w:val="auto"/>
          <w:kern w:val="2"/>
          <w:sz w:val="32"/>
          <w:szCs w:val="32"/>
          <w:highlight w:val="none"/>
          <w:lang w:eastAsia="zh-CN"/>
        </w:rPr>
        <w:t>乙方为越秀区政府相关部门提供一揽子综合金融服务。</w:t>
      </w:r>
    </w:p>
    <w:p w14:paraId="3FD89236">
      <w:pPr>
        <w:widowControl w:val="0"/>
        <w:kinsoku/>
        <w:overflowPunct w:val="0"/>
        <w:spacing w:line="579" w:lineRule="exact"/>
        <w:ind w:firstLine="645"/>
        <w:jc w:val="both"/>
        <w:textAlignment w:val="auto"/>
        <w:rPr>
          <w:rFonts w:ascii="Times New Roman" w:hAnsi="Times New Roman" w:eastAsia="楷体_GB2312" w:cs="Times New Roman"/>
          <w:snapToGrid/>
          <w:color w:val="auto"/>
          <w:kern w:val="2"/>
          <w:sz w:val="32"/>
          <w:szCs w:val="32"/>
          <w:lang w:eastAsia="zh-CN"/>
        </w:rPr>
      </w:pPr>
      <w:r>
        <w:rPr>
          <w:rFonts w:ascii="Times New Roman" w:hAnsi="Times New Roman" w:eastAsia="楷体_GB2312" w:cs="Times New Roman"/>
          <w:snapToGrid/>
          <w:color w:val="auto"/>
          <w:kern w:val="2"/>
          <w:sz w:val="32"/>
          <w:szCs w:val="32"/>
          <w:lang w:eastAsia="zh-CN"/>
        </w:rPr>
        <w:t>（四）共同推进绿美</w:t>
      </w:r>
      <w:r>
        <w:rPr>
          <w:rFonts w:hint="eastAsia" w:ascii="Times New Roman" w:hAnsi="Times New Roman" w:eastAsia="楷体_GB2312" w:cs="Times New Roman"/>
          <w:snapToGrid/>
          <w:color w:val="auto"/>
          <w:kern w:val="2"/>
          <w:sz w:val="32"/>
          <w:szCs w:val="32"/>
          <w:lang w:eastAsia="zh-CN"/>
        </w:rPr>
        <w:t>越秀</w:t>
      </w:r>
      <w:r>
        <w:rPr>
          <w:rFonts w:ascii="Times New Roman" w:hAnsi="Times New Roman" w:eastAsia="楷体_GB2312" w:cs="Times New Roman"/>
          <w:snapToGrid/>
          <w:color w:val="auto"/>
          <w:kern w:val="2"/>
          <w:sz w:val="32"/>
          <w:szCs w:val="32"/>
          <w:lang w:eastAsia="zh-CN"/>
        </w:rPr>
        <w:t>建设</w:t>
      </w:r>
    </w:p>
    <w:p w14:paraId="726DEABF">
      <w:pPr>
        <w:spacing w:before="120" w:beforeLines="50" w:line="600" w:lineRule="exact"/>
        <w:ind w:firstLine="643" w:firstLineChars="200"/>
        <w:jc w:val="both"/>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1.积极支持低碳循环经济和绿色发展。</w:t>
      </w:r>
      <w:r>
        <w:rPr>
          <w:rFonts w:ascii="Times New Roman" w:hAnsi="Times New Roman" w:eastAsia="仿宋_GB2312" w:cs="Times New Roman"/>
          <w:snapToGrid/>
          <w:color w:val="auto"/>
          <w:kern w:val="2"/>
          <w:sz w:val="32"/>
          <w:szCs w:val="32"/>
          <w:lang w:eastAsia="zh-CN"/>
        </w:rPr>
        <w:t>甲方支持乙方围绕生</w:t>
      </w:r>
      <w:r>
        <w:rPr>
          <w:rFonts w:hint="eastAsia" w:ascii="Times New Roman" w:hAnsi="Times New Roman" w:eastAsia="仿宋_GB2312" w:cs="Times New Roman"/>
          <w:snapToGrid/>
          <w:color w:val="auto"/>
          <w:kern w:val="2"/>
          <w:sz w:val="32"/>
          <w:szCs w:val="32"/>
          <w:lang w:val="en-US" w:eastAsia="zh-CN"/>
        </w:rPr>
        <w:t>绿色金融</w:t>
      </w:r>
      <w:r>
        <w:rPr>
          <w:rFonts w:ascii="Times New Roman" w:hAnsi="Times New Roman" w:eastAsia="仿宋_GB2312" w:cs="Times New Roman"/>
          <w:snapToGrid/>
          <w:color w:val="auto"/>
          <w:kern w:val="2"/>
          <w:sz w:val="32"/>
          <w:szCs w:val="32"/>
          <w:lang w:eastAsia="zh-CN"/>
        </w:rPr>
        <w:t>等领域加大信贷支持力度，</w:t>
      </w:r>
      <w:r>
        <w:rPr>
          <w:rFonts w:hint="eastAsia" w:ascii="Times New Roman" w:hAnsi="Times New Roman" w:eastAsia="仿宋_GB2312" w:cs="Times New Roman"/>
          <w:snapToGrid/>
          <w:color w:val="auto"/>
          <w:kern w:val="2"/>
          <w:sz w:val="32"/>
          <w:szCs w:val="32"/>
          <w:lang w:val="en-US" w:eastAsia="zh-CN"/>
        </w:rPr>
        <w:t>乙方</w:t>
      </w:r>
      <w:r>
        <w:rPr>
          <w:rFonts w:ascii="Times New Roman" w:hAnsi="Times New Roman" w:eastAsia="仿宋_GB2312" w:cs="Times New Roman"/>
          <w:snapToGrid/>
          <w:color w:val="auto"/>
          <w:kern w:val="2"/>
          <w:sz w:val="32"/>
          <w:szCs w:val="32"/>
          <w:lang w:eastAsia="zh-CN"/>
        </w:rPr>
        <w:t>加快创新绿色基金、绿色债券、绿色信托等多元化绿色金融服务</w:t>
      </w:r>
      <w:r>
        <w:rPr>
          <w:rFonts w:hint="eastAsia"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助力</w:t>
      </w:r>
      <w:r>
        <w:rPr>
          <w:rFonts w:ascii="Times New Roman" w:hAnsi="Times New Roman" w:eastAsia="仿宋_GB2312" w:cs="Times New Roman"/>
          <w:snapToGrid/>
          <w:color w:val="auto"/>
          <w:kern w:val="2"/>
          <w:sz w:val="32"/>
          <w:szCs w:val="32"/>
          <w:lang w:eastAsia="zh-CN"/>
        </w:rPr>
        <w:t>越秀区绿色金融建设发展。</w:t>
      </w:r>
    </w:p>
    <w:p w14:paraId="7DD38603">
      <w:pPr>
        <w:widowControl w:val="0"/>
        <w:kinsoku/>
        <w:overflowPunct w:val="0"/>
        <w:spacing w:line="579" w:lineRule="exact"/>
        <w:ind w:firstLine="645"/>
        <w:jc w:val="both"/>
        <w:textAlignment w:val="auto"/>
        <w:rPr>
          <w:rFonts w:ascii="Times New Roman" w:hAnsi="Times New Roman" w:eastAsia="楷体_GB2312" w:cs="Times New Roman"/>
          <w:snapToGrid/>
          <w:color w:val="auto"/>
          <w:kern w:val="2"/>
          <w:sz w:val="32"/>
          <w:szCs w:val="32"/>
          <w:lang w:eastAsia="zh-CN"/>
        </w:rPr>
      </w:pPr>
      <w:r>
        <w:rPr>
          <w:rFonts w:ascii="Times New Roman" w:hAnsi="Times New Roman" w:eastAsia="楷体_GB2312" w:cs="Times New Roman"/>
          <w:snapToGrid/>
          <w:color w:val="auto"/>
          <w:kern w:val="2"/>
          <w:sz w:val="32"/>
          <w:szCs w:val="32"/>
          <w:lang w:eastAsia="zh-CN"/>
        </w:rPr>
        <w:t>（五）助力改善民生</w:t>
      </w:r>
    </w:p>
    <w:p w14:paraId="36C91F32">
      <w:pPr>
        <w:spacing w:before="120" w:beforeLines="50" w:line="600" w:lineRule="exact"/>
        <w:ind w:firstLine="643" w:firstLineChars="200"/>
        <w:jc w:val="both"/>
        <w:rPr>
          <w:rFonts w:hint="eastAsia" w:ascii="Times New Roman" w:hAnsi="Times New Roman" w:eastAsia="仿宋_GB2312" w:cs="Times New Roman"/>
          <w:snapToGrid/>
          <w:color w:val="auto"/>
          <w:kern w:val="2"/>
          <w:sz w:val="32"/>
          <w:szCs w:val="32"/>
          <w:lang w:eastAsia="zh-CN"/>
        </w:rPr>
      </w:pPr>
      <w:bookmarkStart w:id="2" w:name="OLE_LINK13"/>
      <w:r>
        <w:rPr>
          <w:rFonts w:hint="eastAsia" w:ascii="Times New Roman" w:hAnsi="Times New Roman" w:eastAsia="仿宋_GB2312" w:cs="Times New Roman"/>
          <w:b/>
          <w:bCs/>
          <w:snapToGrid/>
          <w:color w:val="auto"/>
          <w:kern w:val="2"/>
          <w:sz w:val="32"/>
          <w:szCs w:val="32"/>
          <w:lang w:eastAsia="zh-CN"/>
        </w:rPr>
        <w:t>1.开展“千企万户大走访”。</w:t>
      </w:r>
      <w:r>
        <w:rPr>
          <w:rFonts w:hint="eastAsia" w:ascii="Times New Roman" w:hAnsi="Times New Roman" w:eastAsia="仿宋_GB2312" w:cs="Times New Roman"/>
          <w:snapToGrid/>
          <w:color w:val="auto"/>
          <w:kern w:val="2"/>
          <w:sz w:val="32"/>
          <w:szCs w:val="32"/>
          <w:lang w:eastAsia="zh-CN"/>
        </w:rPr>
        <w:t>甲方支持乙方开展越秀区“千企万户大走访”活动。乙方组建专班，</w:t>
      </w:r>
      <w:bookmarkEnd w:id="2"/>
      <w:r>
        <w:rPr>
          <w:rFonts w:hint="eastAsia" w:ascii="Times New Roman" w:hAnsi="Times New Roman" w:eastAsia="仿宋_GB2312" w:cs="Times New Roman"/>
          <w:i w:val="0"/>
          <w:iCs w:val="0"/>
          <w:caps w:val="0"/>
          <w:snapToGrid/>
          <w:color w:val="auto"/>
          <w:spacing w:val="0"/>
          <w:kern w:val="2"/>
          <w:sz w:val="32"/>
          <w:szCs w:val="32"/>
          <w:shd w:val="clear" w:fill="auto"/>
          <w:lang w:eastAsia="zh-CN"/>
        </w:rPr>
        <w:t>为甲方辖区内的各类中小企业、党政机关、事业单位、各类经济实体</w:t>
      </w:r>
      <w:r>
        <w:rPr>
          <w:rFonts w:hint="eastAsia" w:ascii="Times New Roman" w:hAnsi="Times New Roman" w:eastAsia="仿宋_GB2312" w:cs="Times New Roman"/>
          <w:i w:val="0"/>
          <w:iCs w:val="0"/>
          <w:caps w:val="0"/>
          <w:snapToGrid/>
          <w:color w:val="auto"/>
          <w:spacing w:val="0"/>
          <w:kern w:val="2"/>
          <w:sz w:val="32"/>
          <w:szCs w:val="32"/>
          <w:shd w:val="clear"/>
          <w:lang w:val="en-US" w:eastAsia="zh-CN"/>
        </w:rPr>
        <w:t>提供</w:t>
      </w:r>
      <w:r>
        <w:rPr>
          <w:rFonts w:hint="eastAsia" w:ascii="Times New Roman" w:hAnsi="Times New Roman" w:eastAsia="仿宋_GB2312" w:cs="Times New Roman"/>
          <w:i w:val="0"/>
          <w:iCs w:val="0"/>
          <w:caps w:val="0"/>
          <w:snapToGrid/>
          <w:color w:val="auto"/>
          <w:spacing w:val="0"/>
          <w:kern w:val="2"/>
          <w:sz w:val="32"/>
          <w:szCs w:val="32"/>
          <w:shd w:val="clear" w:fill="auto"/>
          <w:lang w:eastAsia="zh-CN"/>
        </w:rPr>
        <w:t>定制化专项</w:t>
      </w:r>
      <w:r>
        <w:rPr>
          <w:rFonts w:hint="eastAsia" w:ascii="Times New Roman" w:hAnsi="Times New Roman" w:eastAsia="仿宋_GB2312" w:cs="Times New Roman"/>
          <w:i w:val="0"/>
          <w:iCs w:val="0"/>
          <w:caps w:val="0"/>
          <w:snapToGrid/>
          <w:color w:val="auto"/>
          <w:spacing w:val="0"/>
          <w:kern w:val="2"/>
          <w:sz w:val="32"/>
          <w:szCs w:val="32"/>
          <w:shd w:val="clear"/>
          <w:lang w:val="en-US" w:eastAsia="zh-CN"/>
        </w:rPr>
        <w:t>金融</w:t>
      </w:r>
      <w:r>
        <w:rPr>
          <w:rFonts w:hint="eastAsia" w:ascii="Times New Roman" w:hAnsi="Times New Roman" w:eastAsia="仿宋_GB2312" w:cs="Times New Roman"/>
          <w:i w:val="0"/>
          <w:iCs w:val="0"/>
          <w:caps w:val="0"/>
          <w:snapToGrid/>
          <w:color w:val="auto"/>
          <w:spacing w:val="0"/>
          <w:kern w:val="2"/>
          <w:sz w:val="32"/>
          <w:szCs w:val="32"/>
          <w:shd w:val="clear" w:fill="auto"/>
          <w:lang w:eastAsia="zh-CN"/>
        </w:rPr>
        <w:t>服务</w:t>
      </w:r>
      <w:r>
        <w:rPr>
          <w:rFonts w:hint="eastAsia" w:ascii="Times New Roman" w:hAnsi="Times New Roman" w:eastAsia="仿宋_GB2312" w:cs="Times New Roman"/>
          <w:i w:val="0"/>
          <w:iCs w:val="0"/>
          <w:caps w:val="0"/>
          <w:snapToGrid/>
          <w:color w:val="auto"/>
          <w:spacing w:val="0"/>
          <w:kern w:val="2"/>
          <w:sz w:val="32"/>
          <w:szCs w:val="32"/>
          <w:shd w:val="clear"/>
          <w:lang w:eastAsia="zh-CN"/>
        </w:rPr>
        <w:t>。</w:t>
      </w:r>
    </w:p>
    <w:p w14:paraId="15985AB2">
      <w:pPr>
        <w:spacing w:before="120" w:beforeLines="50" w:line="600" w:lineRule="exact"/>
        <w:ind w:firstLine="643" w:firstLineChars="200"/>
        <w:jc w:val="both"/>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val="en-US" w:eastAsia="zh-CN"/>
        </w:rPr>
        <w:t>2</w:t>
      </w:r>
      <w:r>
        <w:rPr>
          <w:rFonts w:ascii="Times New Roman" w:hAnsi="Times New Roman" w:eastAsia="仿宋_GB2312" w:cs="Times New Roman"/>
          <w:b/>
          <w:bCs/>
          <w:snapToGrid/>
          <w:color w:val="auto"/>
          <w:kern w:val="2"/>
          <w:sz w:val="32"/>
          <w:szCs w:val="32"/>
          <w:lang w:eastAsia="zh-CN"/>
        </w:rPr>
        <w:t>.服务</w:t>
      </w:r>
      <w:r>
        <w:rPr>
          <w:rFonts w:hint="eastAsia" w:ascii="Times New Roman" w:hAnsi="Times New Roman" w:eastAsia="仿宋_GB2312" w:cs="Times New Roman"/>
          <w:b/>
          <w:bCs/>
          <w:snapToGrid/>
          <w:color w:val="auto"/>
          <w:kern w:val="2"/>
          <w:sz w:val="32"/>
          <w:szCs w:val="32"/>
          <w:lang w:eastAsia="zh-CN"/>
        </w:rPr>
        <w:t>城镇</w:t>
      </w:r>
      <w:r>
        <w:rPr>
          <w:rFonts w:ascii="Times New Roman" w:hAnsi="Times New Roman" w:eastAsia="仿宋_GB2312" w:cs="Times New Roman"/>
          <w:b/>
          <w:bCs/>
          <w:snapToGrid/>
          <w:color w:val="auto"/>
          <w:kern w:val="2"/>
          <w:sz w:val="32"/>
          <w:szCs w:val="32"/>
          <w:lang w:eastAsia="zh-CN"/>
        </w:rPr>
        <w:t>老旧小区改造。</w:t>
      </w:r>
      <w:r>
        <w:rPr>
          <w:rFonts w:ascii="Times New Roman" w:hAnsi="Times New Roman" w:eastAsia="仿宋_GB2312" w:cs="Times New Roman"/>
          <w:snapToGrid/>
          <w:color w:val="auto"/>
          <w:kern w:val="2"/>
          <w:sz w:val="32"/>
          <w:szCs w:val="32"/>
          <w:lang w:eastAsia="zh-CN"/>
        </w:rPr>
        <w:t>甲方支持乙方</w:t>
      </w:r>
      <w:r>
        <w:rPr>
          <w:rFonts w:hint="eastAsia" w:ascii="Times New Roman" w:hAnsi="Times New Roman" w:eastAsia="仿宋_GB2312" w:cs="Times New Roman"/>
          <w:snapToGrid/>
          <w:color w:val="auto"/>
          <w:kern w:val="2"/>
          <w:sz w:val="32"/>
          <w:szCs w:val="32"/>
          <w:lang w:val="en-US" w:eastAsia="zh-CN"/>
        </w:rPr>
        <w:t>参与越秀区老旧小区改造、广州火车站等四大片区改造项目。乙方为</w:t>
      </w:r>
      <w:r>
        <w:rPr>
          <w:rFonts w:hint="eastAsia" w:ascii="Times New Roman" w:hAnsi="Times New Roman" w:eastAsia="仿宋_GB2312" w:cs="Times New Roman"/>
          <w:snapToGrid/>
          <w:color w:val="auto"/>
          <w:kern w:val="2"/>
          <w:sz w:val="32"/>
          <w:szCs w:val="32"/>
          <w:lang w:eastAsia="zh-CN"/>
        </w:rPr>
        <w:t>越秀区</w:t>
      </w:r>
      <w:r>
        <w:rPr>
          <w:rFonts w:ascii="Times New Roman" w:hAnsi="Times New Roman" w:eastAsia="仿宋_GB2312" w:cs="Times New Roman"/>
          <w:snapToGrid/>
          <w:color w:val="auto"/>
          <w:kern w:val="2"/>
          <w:sz w:val="32"/>
          <w:szCs w:val="32"/>
          <w:lang w:eastAsia="zh-CN"/>
        </w:rPr>
        <w:t>提供覆盖老旧小区改造、配套商业项目建设、项目运营全生命周期</w:t>
      </w:r>
      <w:r>
        <w:rPr>
          <w:rFonts w:hint="eastAsia" w:ascii="Times New Roman" w:hAnsi="Times New Roman" w:eastAsia="仿宋_GB2312" w:cs="Times New Roman"/>
          <w:snapToGrid/>
          <w:color w:val="auto"/>
          <w:kern w:val="2"/>
          <w:sz w:val="32"/>
          <w:szCs w:val="32"/>
          <w:lang w:val="en-US" w:eastAsia="zh-CN"/>
        </w:rPr>
        <w:t>低成本专项的融资方案</w:t>
      </w:r>
      <w:r>
        <w:rPr>
          <w:rFonts w:ascii="Times New Roman" w:hAnsi="Times New Roman" w:eastAsia="仿宋_GB2312" w:cs="Times New Roman"/>
          <w:snapToGrid/>
          <w:color w:val="auto"/>
          <w:kern w:val="2"/>
          <w:sz w:val="32"/>
          <w:szCs w:val="32"/>
          <w:lang w:eastAsia="zh-CN"/>
        </w:rPr>
        <w:t>。</w:t>
      </w:r>
    </w:p>
    <w:p w14:paraId="10DC1E48">
      <w:pPr>
        <w:spacing w:before="120" w:beforeLines="50" w:line="600" w:lineRule="exact"/>
        <w:ind w:firstLine="643" w:firstLineChars="200"/>
        <w:jc w:val="both"/>
        <w:rPr>
          <w:rFonts w:hint="eastAsia"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val="en-US" w:eastAsia="zh-CN"/>
        </w:rPr>
        <w:t>3</w:t>
      </w:r>
      <w:r>
        <w:rPr>
          <w:rFonts w:hint="eastAsia" w:ascii="Times New Roman" w:hAnsi="Times New Roman" w:eastAsia="仿宋_GB2312" w:cs="Times New Roman"/>
          <w:b/>
          <w:bCs/>
          <w:snapToGrid/>
          <w:color w:val="auto"/>
          <w:kern w:val="2"/>
          <w:sz w:val="32"/>
          <w:szCs w:val="32"/>
          <w:lang w:eastAsia="zh-CN"/>
        </w:rPr>
        <w:t>.共建“越秀+邮储”服务样板。</w:t>
      </w:r>
      <w:r>
        <w:rPr>
          <w:rFonts w:hint="eastAsia" w:ascii="Times New Roman" w:hAnsi="Times New Roman" w:eastAsia="仿宋_GB2312" w:cs="Times New Roman"/>
          <w:snapToGrid/>
          <w:color w:val="auto"/>
          <w:kern w:val="2"/>
          <w:sz w:val="32"/>
          <w:szCs w:val="32"/>
          <w:lang w:eastAsia="zh-CN"/>
        </w:rPr>
        <w:t>甲方提供政策支持和宣传推广，乙方聚</w:t>
      </w:r>
      <w:r>
        <w:rPr>
          <w:rFonts w:hint="eastAsia" w:ascii="Times New Roman" w:hAnsi="Times New Roman" w:eastAsia="仿宋_GB2312" w:cs="Times New Roman"/>
          <w:snapToGrid/>
          <w:color w:val="auto"/>
          <w:kern w:val="2"/>
          <w:sz w:val="32"/>
          <w:szCs w:val="32"/>
          <w:lang w:val="en-US" w:eastAsia="zh-CN"/>
        </w:rPr>
        <w:t>越秀</w:t>
      </w:r>
      <w:r>
        <w:rPr>
          <w:rFonts w:hint="eastAsia"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1285</w:t>
      </w:r>
      <w:r>
        <w:rPr>
          <w:rFonts w:hint="eastAsia"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产业</w:t>
      </w:r>
      <w:r>
        <w:rPr>
          <w:rFonts w:hint="eastAsia" w:ascii="Times New Roman" w:hAnsi="Times New Roman" w:eastAsia="仿宋_GB2312" w:cs="Times New Roman"/>
          <w:snapToGrid/>
          <w:color w:val="auto"/>
          <w:kern w:val="2"/>
          <w:sz w:val="32"/>
          <w:szCs w:val="32"/>
          <w:lang w:eastAsia="zh-CN"/>
        </w:rPr>
        <w:t>领域，重点支持北京路步行街升级、老旧小区微改造及广州火车站片区改造等标杆项目。</w:t>
      </w:r>
    </w:p>
    <w:p w14:paraId="12F39D4F">
      <w:pPr>
        <w:spacing w:before="120" w:beforeLines="50" w:line="600" w:lineRule="exact"/>
        <w:ind w:firstLine="643" w:firstLineChars="200"/>
        <w:jc w:val="both"/>
        <w:rPr>
          <w:rFonts w:hint="eastAsia"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val="en-US" w:eastAsia="zh-CN"/>
        </w:rPr>
        <w:t>4.</w:t>
      </w:r>
      <w:bookmarkStart w:id="3" w:name="OLE_LINK16"/>
      <w:r>
        <w:rPr>
          <w:rFonts w:hint="eastAsia" w:ascii="Times New Roman" w:hAnsi="Times New Roman" w:eastAsia="仿宋_GB2312" w:cs="Times New Roman"/>
          <w:b/>
          <w:bCs/>
          <w:snapToGrid/>
          <w:color w:val="auto"/>
          <w:kern w:val="2"/>
          <w:sz w:val="32"/>
          <w:szCs w:val="32"/>
          <w:lang w:eastAsia="zh-CN"/>
        </w:rPr>
        <w:t>共促政府存量资产盘活，</w:t>
      </w:r>
      <w:r>
        <w:rPr>
          <w:rFonts w:hint="eastAsia" w:ascii="Times New Roman" w:hAnsi="Times New Roman" w:eastAsia="仿宋_GB2312" w:cs="Times New Roman"/>
          <w:snapToGrid/>
          <w:color w:val="auto"/>
          <w:kern w:val="2"/>
          <w:sz w:val="32"/>
          <w:szCs w:val="32"/>
          <w:lang w:eastAsia="zh-CN"/>
        </w:rPr>
        <w:t>甲方统筹协调政策支持和资源保障、数据共享及跨部门协作，保障乙方金融服务嵌入智慧停车、存量房收储、屋顶光伏等项目全流程；乙方通过创新金融产品和服务，为甲方提供资产证券化、融资租赁、REITs发行等综合金融服务方案，助力存量资产变现和再投资</w:t>
      </w:r>
      <w:bookmarkEnd w:id="3"/>
      <w:r>
        <w:rPr>
          <w:rFonts w:hint="eastAsia" w:ascii="Times New Roman" w:hAnsi="Times New Roman" w:eastAsia="仿宋_GB2312" w:cs="Times New Roman"/>
          <w:snapToGrid/>
          <w:color w:val="auto"/>
          <w:kern w:val="2"/>
          <w:sz w:val="32"/>
          <w:szCs w:val="32"/>
          <w:lang w:eastAsia="zh-CN"/>
        </w:rPr>
        <w:t>。</w:t>
      </w:r>
    </w:p>
    <w:p w14:paraId="116E616E">
      <w:pPr>
        <w:spacing w:before="120" w:beforeLines="50" w:line="600" w:lineRule="exact"/>
        <w:ind w:firstLine="643" w:firstLineChars="200"/>
        <w:jc w:val="both"/>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val="en-US" w:eastAsia="zh-CN"/>
        </w:rPr>
        <w:t>5.</w:t>
      </w:r>
      <w:r>
        <w:rPr>
          <w:rFonts w:ascii="Times New Roman" w:hAnsi="Times New Roman" w:eastAsia="仿宋_GB2312" w:cs="Times New Roman"/>
          <w:b/>
          <w:bCs/>
          <w:snapToGrid/>
          <w:color w:val="auto"/>
          <w:kern w:val="2"/>
          <w:sz w:val="32"/>
          <w:szCs w:val="32"/>
          <w:lang w:eastAsia="zh-CN"/>
        </w:rPr>
        <w:t>积极拓展民生领域合作。</w:t>
      </w:r>
      <w:r>
        <w:rPr>
          <w:rFonts w:ascii="Times New Roman" w:hAnsi="Times New Roman" w:eastAsia="仿宋_GB2312" w:cs="Times New Roman"/>
          <w:snapToGrid/>
          <w:color w:val="auto"/>
          <w:kern w:val="2"/>
          <w:sz w:val="32"/>
          <w:szCs w:val="32"/>
          <w:lang w:eastAsia="zh-CN"/>
        </w:rPr>
        <w:t>甲方支持乙方积极履行服务民生职责，拓展与各级财政、社保、医保、民政、交通、教育、退役军人服务等领域的业务合作；</w:t>
      </w:r>
      <w:r>
        <w:rPr>
          <w:rFonts w:hint="eastAsia" w:ascii="Times New Roman" w:hAnsi="Times New Roman" w:eastAsia="仿宋_GB2312" w:cs="Times New Roman"/>
          <w:snapToGrid/>
          <w:color w:val="auto"/>
          <w:kern w:val="2"/>
          <w:sz w:val="32"/>
          <w:szCs w:val="32"/>
          <w:lang w:val="en-US" w:eastAsia="zh-CN"/>
        </w:rPr>
        <w:t>乙方积极</w:t>
      </w:r>
      <w:r>
        <w:rPr>
          <w:rFonts w:ascii="Times New Roman" w:hAnsi="Times New Roman" w:eastAsia="仿宋_GB2312" w:cs="Times New Roman"/>
          <w:snapToGrid/>
          <w:color w:val="auto"/>
          <w:kern w:val="2"/>
          <w:sz w:val="32"/>
          <w:szCs w:val="32"/>
          <w:lang w:eastAsia="zh-CN"/>
        </w:rPr>
        <w:t>为</w:t>
      </w:r>
      <w:r>
        <w:rPr>
          <w:rFonts w:hint="eastAsia" w:ascii="Times New Roman" w:hAnsi="Times New Roman" w:eastAsia="仿宋_GB2312" w:cs="Times New Roman"/>
          <w:snapToGrid/>
          <w:color w:val="auto"/>
          <w:kern w:val="2"/>
          <w:sz w:val="32"/>
          <w:szCs w:val="32"/>
          <w:lang w:val="en-US" w:eastAsia="zh-CN"/>
        </w:rPr>
        <w:t>辖区</w:t>
      </w:r>
      <w:r>
        <w:rPr>
          <w:rFonts w:ascii="Times New Roman" w:hAnsi="Times New Roman" w:eastAsia="仿宋_GB2312" w:cs="Times New Roman"/>
          <w:snapToGrid/>
          <w:color w:val="auto"/>
          <w:kern w:val="2"/>
          <w:sz w:val="32"/>
          <w:szCs w:val="32"/>
          <w:lang w:eastAsia="zh-CN"/>
        </w:rPr>
        <w:t>居民提供便捷丰富的</w:t>
      </w:r>
      <w:r>
        <w:rPr>
          <w:rFonts w:hint="eastAsia" w:ascii="Times New Roman" w:hAnsi="Times New Roman" w:eastAsia="仿宋_GB2312" w:cs="Times New Roman"/>
          <w:snapToGrid/>
          <w:color w:val="auto"/>
          <w:kern w:val="2"/>
          <w:sz w:val="32"/>
          <w:szCs w:val="32"/>
          <w:lang w:val="en-US" w:eastAsia="zh-CN"/>
        </w:rPr>
        <w:t>金融服务</w:t>
      </w:r>
      <w:r>
        <w:rPr>
          <w:rFonts w:ascii="Times New Roman" w:hAnsi="Times New Roman" w:eastAsia="仿宋_GB2312" w:cs="Times New Roman"/>
          <w:snapToGrid/>
          <w:color w:val="auto"/>
          <w:kern w:val="2"/>
          <w:sz w:val="32"/>
          <w:szCs w:val="32"/>
          <w:lang w:eastAsia="zh-CN"/>
        </w:rPr>
        <w:t>。</w:t>
      </w:r>
    </w:p>
    <w:p w14:paraId="529C7727">
      <w:pPr>
        <w:widowControl w:val="0"/>
        <w:kinsoku/>
        <w:overflowPunct w:val="0"/>
        <w:spacing w:line="579" w:lineRule="exact"/>
        <w:ind w:firstLine="645"/>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楷体_GB2312" w:cs="Times New Roman"/>
          <w:snapToGrid/>
          <w:color w:val="auto"/>
          <w:kern w:val="2"/>
          <w:sz w:val="32"/>
          <w:szCs w:val="32"/>
          <w:lang w:eastAsia="zh-CN"/>
        </w:rPr>
        <w:t>第</w:t>
      </w:r>
      <w:r>
        <w:rPr>
          <w:rFonts w:hint="eastAsia" w:ascii="Times New Roman" w:hAnsi="Times New Roman" w:eastAsia="楷体_GB2312" w:cs="Times New Roman"/>
          <w:snapToGrid/>
          <w:color w:val="auto"/>
          <w:kern w:val="2"/>
          <w:sz w:val="32"/>
          <w:szCs w:val="32"/>
          <w:lang w:val="en-US" w:eastAsia="zh-CN"/>
        </w:rPr>
        <w:t>三</w:t>
      </w:r>
      <w:r>
        <w:rPr>
          <w:rFonts w:ascii="Times New Roman" w:hAnsi="Times New Roman" w:eastAsia="楷体_GB2312" w:cs="Times New Roman"/>
          <w:snapToGrid/>
          <w:color w:val="auto"/>
          <w:kern w:val="2"/>
          <w:sz w:val="32"/>
          <w:szCs w:val="32"/>
          <w:lang w:eastAsia="zh-CN"/>
        </w:rPr>
        <w:t>条</w:t>
      </w:r>
      <w:r>
        <w:rPr>
          <w:rFonts w:ascii="Times New Roman" w:hAnsi="Times New Roman" w:eastAsia="仿宋_GB2312" w:cs="Times New Roman"/>
          <w:snapToGrid/>
          <w:color w:val="auto"/>
          <w:kern w:val="2"/>
          <w:sz w:val="32"/>
          <w:szCs w:val="32"/>
          <w:lang w:eastAsia="zh-CN"/>
        </w:rPr>
        <w:t xml:space="preserve">  在依法合规和遵守市场公平竞争的前提下：甲方支持乙方作为区域发展的重要银行合作伙伴，有效整合各方资源，为乙方营造良好的经营环境。</w:t>
      </w:r>
    </w:p>
    <w:p w14:paraId="5793E3DD">
      <w:pPr>
        <w:widowControl w:val="0"/>
        <w:kinsoku/>
        <w:overflowPunct w:val="0"/>
        <w:spacing w:line="579" w:lineRule="exact"/>
        <w:ind w:firstLine="645"/>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1.保障支持。</w:t>
      </w:r>
      <w:r>
        <w:rPr>
          <w:rFonts w:ascii="Times New Roman" w:hAnsi="Times New Roman" w:eastAsia="仿宋_GB2312" w:cs="Times New Roman"/>
          <w:snapToGrid/>
          <w:color w:val="auto"/>
          <w:kern w:val="2"/>
          <w:sz w:val="32"/>
          <w:szCs w:val="32"/>
          <w:lang w:eastAsia="zh-CN"/>
        </w:rPr>
        <w:t>甲方支持乙方在本地区各项业务发展，在政策保障、信息共享、营业网点布局和重点建设项目等方面给予支持。</w:t>
      </w:r>
    </w:p>
    <w:p w14:paraId="5F99872D">
      <w:pPr>
        <w:widowControl w:val="0"/>
        <w:kinsoku/>
        <w:overflowPunct w:val="0"/>
        <w:spacing w:line="579" w:lineRule="exact"/>
        <w:ind w:firstLine="645"/>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2.项目合作。</w:t>
      </w:r>
      <w:r>
        <w:rPr>
          <w:rFonts w:ascii="Times New Roman" w:hAnsi="Times New Roman" w:eastAsia="仿宋_GB2312" w:cs="Times New Roman"/>
          <w:snapToGrid/>
          <w:color w:val="auto"/>
          <w:kern w:val="2"/>
          <w:sz w:val="32"/>
          <w:szCs w:val="32"/>
          <w:lang w:eastAsia="zh-CN"/>
        </w:rPr>
        <w:t>甲方支持乙方为重点项目建设提供融资、结算及其他金融服务，</w:t>
      </w:r>
      <w:r>
        <w:rPr>
          <w:rFonts w:hint="eastAsia" w:ascii="仿宋_GB2312" w:hAnsi="仿宋_GB2312" w:eastAsia="仿宋_GB2312"/>
          <w:sz w:val="32"/>
          <w:lang w:val="en-US" w:eastAsia="zh-CN"/>
        </w:rPr>
        <w:t>乙方</w:t>
      </w:r>
      <w:r>
        <w:rPr>
          <w:rFonts w:hint="eastAsia" w:ascii="仿宋_GB2312" w:hAnsi="仿宋_GB2312" w:eastAsia="仿宋_GB2312"/>
          <w:sz w:val="32"/>
        </w:rPr>
        <w:t>在</w:t>
      </w:r>
      <w:r>
        <w:rPr>
          <w:rFonts w:hint="eastAsia" w:ascii="仿宋_GB2312" w:hAnsi="仿宋_GB2312" w:eastAsia="仿宋_GB2312"/>
          <w:sz w:val="32"/>
          <w:lang w:val="en-US" w:eastAsia="zh-CN"/>
        </w:rPr>
        <w:t>经营过程中</w:t>
      </w:r>
      <w:r>
        <w:rPr>
          <w:rFonts w:hint="eastAsia" w:ascii="仿宋_GB2312" w:hAnsi="仿宋_GB2312" w:eastAsia="仿宋_GB2312"/>
          <w:sz w:val="32"/>
        </w:rPr>
        <w:t>，</w:t>
      </w:r>
      <w:r>
        <w:rPr>
          <w:rFonts w:hint="eastAsia" w:ascii="仿宋_GB2312" w:hAnsi="仿宋_GB2312" w:eastAsia="仿宋_GB2312"/>
          <w:sz w:val="32"/>
          <w:lang w:val="en-US" w:eastAsia="zh-CN"/>
        </w:rPr>
        <w:t>为甲方</w:t>
      </w:r>
      <w:r>
        <w:rPr>
          <w:rFonts w:hint="eastAsia" w:ascii="仿宋_GB2312" w:hAnsi="仿宋_GB2312" w:eastAsia="仿宋_GB2312"/>
          <w:sz w:val="32"/>
        </w:rPr>
        <w:t>提供</w:t>
      </w:r>
      <w:r>
        <w:rPr>
          <w:rFonts w:hint="eastAsia" w:ascii="仿宋_GB2312" w:hAnsi="仿宋_GB2312" w:eastAsia="仿宋_GB2312"/>
          <w:sz w:val="32"/>
          <w:lang w:val="en-US" w:eastAsia="zh-CN"/>
        </w:rPr>
        <w:t>相关优质招商线索</w:t>
      </w:r>
      <w:r>
        <w:rPr>
          <w:rFonts w:hint="eastAsia" w:ascii="仿宋_GB2312" w:hAnsi="仿宋_GB2312" w:eastAsia="仿宋_GB2312"/>
          <w:sz w:val="32"/>
        </w:rPr>
        <w:t>给，共同推进越秀区产业发展。</w:t>
      </w:r>
    </w:p>
    <w:p w14:paraId="1FE3A6C9">
      <w:pPr>
        <w:widowControl w:val="0"/>
        <w:kinsoku/>
        <w:overflowPunct w:val="0"/>
        <w:spacing w:line="579" w:lineRule="exact"/>
        <w:ind w:firstLine="645"/>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3.风险防范。</w:t>
      </w:r>
      <w:r>
        <w:rPr>
          <w:rFonts w:ascii="Times New Roman" w:hAnsi="Times New Roman" w:eastAsia="仿宋_GB2312" w:cs="Times New Roman"/>
          <w:snapToGrid/>
          <w:color w:val="auto"/>
          <w:kern w:val="2"/>
          <w:sz w:val="32"/>
          <w:szCs w:val="32"/>
          <w:lang w:eastAsia="zh-CN"/>
        </w:rPr>
        <w:t>甲方依法引导工商企业和金融企业规范运作，提高社会信用意识，坚决打击恶意逃废金融债务违法犯罪行为，营造良好的金融生态环境。乙方</w:t>
      </w:r>
      <w:r>
        <w:rPr>
          <w:rFonts w:hint="eastAsia" w:ascii="Times New Roman" w:hAnsi="Times New Roman" w:eastAsia="仿宋_GB2312" w:cs="Times New Roman"/>
          <w:snapToGrid/>
          <w:color w:val="auto"/>
          <w:kern w:val="2"/>
          <w:sz w:val="32"/>
          <w:szCs w:val="32"/>
          <w:lang w:val="en-US" w:eastAsia="zh-CN"/>
        </w:rPr>
        <w:t>持续</w:t>
      </w:r>
      <w:r>
        <w:rPr>
          <w:rFonts w:ascii="Times New Roman" w:hAnsi="Times New Roman" w:eastAsia="仿宋_GB2312" w:cs="Times New Roman"/>
          <w:snapToGrid/>
          <w:color w:val="auto"/>
          <w:kern w:val="2"/>
          <w:sz w:val="32"/>
          <w:szCs w:val="32"/>
          <w:lang w:eastAsia="zh-CN"/>
        </w:rPr>
        <w:t>加强项目管理，提升信贷管理水平，防范和化解风险，共同维护区域金融环境稳定。</w:t>
      </w:r>
    </w:p>
    <w:p w14:paraId="7B8233E6">
      <w:pPr>
        <w:widowControl w:val="0"/>
        <w:kinsoku/>
        <w:overflowPunct w:val="0"/>
        <w:spacing w:line="579" w:lineRule="exact"/>
        <w:ind w:firstLine="645"/>
        <w:jc w:val="both"/>
        <w:textAlignment w:val="auto"/>
        <w:rPr>
          <w:rFonts w:ascii="Times New Roman" w:hAnsi="Times New Roman" w:eastAsia="仿宋_GB2312" w:cs="Times New Roman"/>
          <w:snapToGrid/>
          <w:color w:val="auto"/>
          <w:kern w:val="2"/>
          <w:sz w:val="32"/>
          <w:szCs w:val="32"/>
          <w:lang w:eastAsia="zh-CN"/>
        </w:rPr>
      </w:pPr>
    </w:p>
    <w:p w14:paraId="4D0DF850">
      <w:pPr>
        <w:numPr>
          <w:ilvl w:val="-1"/>
          <w:numId w:val="0"/>
        </w:numPr>
        <w:spacing w:line="360" w:lineRule="auto"/>
        <w:ind w:left="0"/>
        <w:jc w:val="center"/>
        <w:outlineLvl w:val="0"/>
        <w:rPr>
          <w:rFonts w:hint="eastAsia" w:ascii="仿宋" w:hAnsi="仿宋" w:eastAsia="仿宋" w:cs="仿宋"/>
          <w:b/>
          <w:bCs/>
          <w:color w:val="auto"/>
          <w:spacing w:val="5"/>
          <w:sz w:val="32"/>
          <w:szCs w:val="32"/>
          <w:lang w:eastAsia="zh-CN"/>
        </w:rPr>
      </w:pPr>
      <w:r>
        <w:rPr>
          <w:rFonts w:hint="eastAsia" w:ascii="仿宋" w:hAnsi="仿宋" w:eastAsia="仿宋" w:cs="仿宋"/>
          <w:b/>
          <w:bCs/>
          <w:color w:val="auto"/>
          <w:spacing w:val="5"/>
          <w:sz w:val="32"/>
          <w:szCs w:val="32"/>
          <w:lang w:val="en-US" w:eastAsia="zh-CN"/>
        </w:rPr>
        <w:t xml:space="preserve">第三章 </w:t>
      </w:r>
      <w:r>
        <w:rPr>
          <w:rFonts w:hint="eastAsia" w:ascii="仿宋" w:hAnsi="仿宋" w:eastAsia="仿宋" w:cs="仿宋"/>
          <w:b/>
          <w:bCs/>
          <w:color w:val="auto"/>
          <w:spacing w:val="5"/>
          <w:sz w:val="32"/>
          <w:szCs w:val="32"/>
          <w:lang w:eastAsia="zh-CN"/>
        </w:rPr>
        <w:t>其他事项</w:t>
      </w:r>
    </w:p>
    <w:p w14:paraId="2BFBF559">
      <w:pPr>
        <w:widowControl w:val="0"/>
        <w:kinsoku/>
        <w:autoSpaceDE/>
        <w:autoSpaceDN/>
        <w:adjustRightInd/>
        <w:snapToGrid/>
        <w:spacing w:before="120" w:beforeLines="50" w:line="360" w:lineRule="auto"/>
        <w:ind w:firstLine="687"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pacing w:val="11"/>
          <w:sz w:val="32"/>
          <w:szCs w:val="32"/>
          <w:lang w:eastAsia="zh-CN"/>
        </w:rPr>
        <w:t>第</w:t>
      </w:r>
      <w:r>
        <w:rPr>
          <w:rFonts w:hint="eastAsia" w:ascii="仿宋" w:hAnsi="仿宋" w:eastAsia="仿宋" w:cs="仿宋"/>
          <w:b/>
          <w:bCs/>
          <w:color w:val="auto"/>
          <w:spacing w:val="11"/>
          <w:sz w:val="32"/>
          <w:szCs w:val="32"/>
          <w:lang w:val="en-US" w:eastAsia="zh-CN"/>
        </w:rPr>
        <w:t>四</w:t>
      </w:r>
      <w:r>
        <w:rPr>
          <w:rFonts w:hint="eastAsia" w:ascii="仿宋" w:hAnsi="仿宋" w:eastAsia="仿宋" w:cs="仿宋"/>
          <w:b/>
          <w:bCs/>
          <w:color w:val="auto"/>
          <w:spacing w:val="11"/>
          <w:sz w:val="32"/>
          <w:szCs w:val="32"/>
          <w:lang w:eastAsia="zh-CN"/>
        </w:rPr>
        <w:t xml:space="preserve">条 </w:t>
      </w:r>
      <w:r>
        <w:rPr>
          <w:rFonts w:hint="eastAsia" w:ascii="仿宋" w:hAnsi="仿宋" w:eastAsia="仿宋" w:cs="仿宋"/>
          <w:color w:val="auto"/>
          <w:sz w:val="32"/>
          <w:szCs w:val="32"/>
          <w:lang w:eastAsia="zh-CN"/>
        </w:rPr>
        <w:t>本协议未尽事宜由甲乙双方协商解决。</w:t>
      </w:r>
      <w:r>
        <w:rPr>
          <w:rFonts w:ascii="Times New Roman" w:hAnsi="Times New Roman" w:eastAsia="仿宋_GB2123" w:cs="Times New Roman"/>
          <w:color w:val="auto"/>
          <w:sz w:val="32"/>
          <w:szCs w:val="32"/>
          <w:lang w:eastAsia="zh-CN"/>
        </w:rPr>
        <w:t>双方可根据具体项目情况，商定具体合作模式，另行签署具体协议或合同；具体项目协议或合同的内容与本合作协议内容不一致的，以具体项目协议或合同为准</w:t>
      </w:r>
      <w:r>
        <w:rPr>
          <w:rFonts w:hint="eastAsia" w:ascii="仿宋" w:hAnsi="仿宋" w:eastAsia="仿宋" w:cs="仿宋"/>
          <w:color w:val="auto"/>
          <w:sz w:val="32"/>
          <w:szCs w:val="32"/>
          <w:lang w:eastAsia="zh-CN"/>
        </w:rPr>
        <w:t>；除保密和争议解决条款外，本协议不作为追究对方违约责任的依据。</w:t>
      </w:r>
    </w:p>
    <w:p w14:paraId="7C001A77">
      <w:pPr>
        <w:widowControl w:val="0"/>
        <w:kinsoku/>
        <w:autoSpaceDE/>
        <w:autoSpaceDN/>
        <w:adjustRightInd/>
        <w:snapToGrid/>
        <w:spacing w:line="360" w:lineRule="auto"/>
        <w:ind w:firstLine="687"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pacing w:val="11"/>
          <w:sz w:val="32"/>
          <w:szCs w:val="32"/>
          <w:lang w:eastAsia="zh-CN"/>
        </w:rPr>
        <w:t>第</w:t>
      </w:r>
      <w:r>
        <w:rPr>
          <w:rFonts w:hint="eastAsia" w:ascii="仿宋" w:hAnsi="仿宋" w:eastAsia="仿宋" w:cs="仿宋"/>
          <w:b/>
          <w:bCs/>
          <w:color w:val="auto"/>
          <w:spacing w:val="11"/>
          <w:sz w:val="32"/>
          <w:szCs w:val="32"/>
          <w:lang w:val="en-US" w:eastAsia="zh-CN"/>
        </w:rPr>
        <w:t>五</w:t>
      </w:r>
      <w:r>
        <w:rPr>
          <w:rFonts w:hint="eastAsia" w:ascii="仿宋" w:hAnsi="仿宋" w:eastAsia="仿宋" w:cs="仿宋"/>
          <w:b/>
          <w:bCs/>
          <w:color w:val="auto"/>
          <w:spacing w:val="11"/>
          <w:sz w:val="32"/>
          <w:szCs w:val="32"/>
          <w:lang w:eastAsia="zh-CN"/>
        </w:rPr>
        <w:t xml:space="preserve">条 </w:t>
      </w:r>
      <w:r>
        <w:rPr>
          <w:rFonts w:ascii="Times New Roman" w:hAnsi="Times New Roman" w:eastAsia="仿宋_GB2123" w:cs="Times New Roman"/>
          <w:color w:val="auto"/>
          <w:sz w:val="32"/>
          <w:szCs w:val="32"/>
          <w:lang w:eastAsia="zh-CN"/>
        </w:rPr>
        <w:t>开展具体项目合作时</w:t>
      </w:r>
      <w:r>
        <w:rPr>
          <w:rFonts w:hint="eastAsia" w:ascii="仿宋" w:hAnsi="仿宋" w:eastAsia="仿宋" w:cs="仿宋"/>
          <w:color w:val="auto"/>
          <w:sz w:val="32"/>
          <w:szCs w:val="32"/>
          <w:lang w:eastAsia="zh-CN"/>
        </w:rPr>
        <w:t>，如涉及行政许可、政府采购、招标投标等法律法规明确规定需要履行法定程序的，应按照有关规定办理。</w:t>
      </w:r>
    </w:p>
    <w:p w14:paraId="5CC54FA0">
      <w:pPr>
        <w:widowControl w:val="0"/>
        <w:kinsoku/>
        <w:autoSpaceDE/>
        <w:autoSpaceDN/>
        <w:adjustRightInd/>
        <w:snapToGrid/>
        <w:spacing w:line="360" w:lineRule="auto"/>
        <w:ind w:firstLine="687" w:firstLineChars="200"/>
        <w:jc w:val="both"/>
        <w:textAlignment w:val="auto"/>
        <w:rPr>
          <w:rFonts w:hint="eastAsia" w:ascii="仿宋" w:hAnsi="仿宋" w:eastAsia="仿宋" w:cs="仿宋"/>
          <w:b/>
          <w:bCs/>
          <w:color w:val="auto"/>
          <w:spacing w:val="11"/>
          <w:sz w:val="32"/>
          <w:szCs w:val="32"/>
          <w:lang w:eastAsia="zh-CN"/>
        </w:rPr>
      </w:pPr>
      <w:r>
        <w:rPr>
          <w:rFonts w:hint="eastAsia" w:ascii="仿宋" w:hAnsi="仿宋" w:eastAsia="仿宋" w:cs="仿宋"/>
          <w:b/>
          <w:bCs/>
          <w:color w:val="auto"/>
          <w:spacing w:val="11"/>
          <w:sz w:val="32"/>
          <w:szCs w:val="32"/>
          <w:lang w:eastAsia="zh-CN"/>
        </w:rPr>
        <w:t>第</w:t>
      </w:r>
      <w:r>
        <w:rPr>
          <w:rFonts w:hint="eastAsia" w:ascii="仿宋" w:hAnsi="仿宋" w:eastAsia="仿宋" w:cs="仿宋"/>
          <w:b/>
          <w:bCs/>
          <w:color w:val="auto"/>
          <w:spacing w:val="11"/>
          <w:sz w:val="32"/>
          <w:szCs w:val="32"/>
          <w:lang w:val="en-US" w:eastAsia="zh-CN"/>
        </w:rPr>
        <w:t>六</w:t>
      </w:r>
      <w:r>
        <w:rPr>
          <w:rFonts w:hint="eastAsia" w:ascii="仿宋" w:hAnsi="仿宋" w:eastAsia="仿宋" w:cs="仿宋"/>
          <w:b/>
          <w:bCs/>
          <w:color w:val="auto"/>
          <w:spacing w:val="11"/>
          <w:sz w:val="32"/>
          <w:szCs w:val="32"/>
          <w:lang w:eastAsia="zh-CN"/>
        </w:rPr>
        <w:t xml:space="preserve">条 </w:t>
      </w:r>
      <w:r>
        <w:rPr>
          <w:rFonts w:hint="eastAsia" w:ascii="仿宋" w:hAnsi="仿宋" w:eastAsia="仿宋" w:cs="仿宋"/>
          <w:color w:val="auto"/>
          <w:sz w:val="32"/>
          <w:szCs w:val="32"/>
          <w:lang w:eastAsia="zh-CN"/>
        </w:rPr>
        <w:t>在合作过程中，除根据法律法规和监管规定履行信息披露义务外，双方在本协议履行过程中知悉的对方商业性秘密以及信息共享、信息平台建设过程中获取的个人档案等信息和资料，以及一方明确应予保密的信息，未经对方书面同意，不得向第三方透露，也不得用于本协议履行以外的其他目的。</w:t>
      </w:r>
      <w:r>
        <w:rPr>
          <w:rFonts w:hint="eastAsia" w:ascii="仿宋" w:hAnsi="仿宋" w:eastAsia="仿宋" w:cs="仿宋"/>
          <w:b/>
          <w:bCs/>
          <w:color w:val="auto"/>
          <w:spacing w:val="11"/>
          <w:sz w:val="32"/>
          <w:szCs w:val="32"/>
          <w:lang w:eastAsia="zh-CN"/>
        </w:rPr>
        <w:t>第</w:t>
      </w:r>
      <w:r>
        <w:rPr>
          <w:rFonts w:hint="eastAsia" w:ascii="仿宋" w:hAnsi="仿宋" w:eastAsia="仿宋" w:cs="仿宋"/>
          <w:b/>
          <w:bCs/>
          <w:color w:val="auto"/>
          <w:spacing w:val="11"/>
          <w:sz w:val="32"/>
          <w:szCs w:val="32"/>
          <w:lang w:val="en-US" w:eastAsia="zh-CN"/>
        </w:rPr>
        <w:t>七</w:t>
      </w:r>
      <w:r>
        <w:rPr>
          <w:rFonts w:hint="eastAsia" w:ascii="仿宋" w:hAnsi="仿宋" w:eastAsia="仿宋" w:cs="仿宋"/>
          <w:b/>
          <w:bCs/>
          <w:color w:val="auto"/>
          <w:spacing w:val="11"/>
          <w:sz w:val="32"/>
          <w:szCs w:val="32"/>
          <w:lang w:eastAsia="zh-CN"/>
        </w:rPr>
        <w:t xml:space="preserve">条 </w:t>
      </w:r>
      <w:r>
        <w:rPr>
          <w:rFonts w:hint="eastAsia" w:ascii="仿宋" w:hAnsi="仿宋" w:eastAsia="仿宋" w:cs="仿宋"/>
          <w:color w:val="auto"/>
          <w:sz w:val="32"/>
          <w:szCs w:val="32"/>
          <w:lang w:eastAsia="zh-CN"/>
        </w:rPr>
        <w:t>双方就本协议履行产生争议</w:t>
      </w:r>
      <w:r>
        <w:rPr>
          <w:rFonts w:hint="eastAsia" w:ascii="仿宋" w:hAnsi="仿宋" w:eastAsia="仿宋" w:cs="仿宋"/>
          <w:color w:val="auto"/>
          <w:sz w:val="32"/>
          <w:szCs w:val="32"/>
          <w:lang w:val="en-US" w:eastAsia="zh-CN"/>
        </w:rPr>
        <w:t>时</w:t>
      </w:r>
      <w:r>
        <w:rPr>
          <w:rFonts w:hint="eastAsia" w:ascii="仿宋" w:hAnsi="仿宋" w:eastAsia="仿宋" w:cs="仿宋"/>
          <w:color w:val="auto"/>
          <w:sz w:val="32"/>
          <w:szCs w:val="32"/>
          <w:lang w:eastAsia="zh-CN"/>
        </w:rPr>
        <w:t>，应先友好协商解决，并以具体项目独立合同所约定的争议解决方处理争议。</w:t>
      </w:r>
    </w:p>
    <w:p w14:paraId="188C83E5">
      <w:pPr>
        <w:widowControl w:val="0"/>
        <w:kinsoku/>
        <w:autoSpaceDE/>
        <w:autoSpaceDN/>
        <w:adjustRightInd/>
        <w:snapToGrid/>
        <w:spacing w:line="360" w:lineRule="auto"/>
        <w:ind w:firstLine="687"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pacing w:val="11"/>
          <w:sz w:val="32"/>
          <w:szCs w:val="32"/>
          <w:lang w:eastAsia="zh-CN"/>
        </w:rPr>
        <w:t>第</w:t>
      </w:r>
      <w:r>
        <w:rPr>
          <w:rFonts w:hint="eastAsia" w:ascii="仿宋" w:hAnsi="仿宋" w:eastAsia="仿宋" w:cs="仿宋"/>
          <w:b/>
          <w:bCs/>
          <w:color w:val="auto"/>
          <w:spacing w:val="11"/>
          <w:sz w:val="32"/>
          <w:szCs w:val="32"/>
          <w:lang w:val="en-US" w:eastAsia="zh-CN"/>
        </w:rPr>
        <w:t>八</w:t>
      </w:r>
      <w:r>
        <w:rPr>
          <w:rFonts w:hint="eastAsia" w:ascii="仿宋" w:hAnsi="仿宋" w:eastAsia="仿宋" w:cs="仿宋"/>
          <w:b/>
          <w:bCs/>
          <w:color w:val="auto"/>
          <w:spacing w:val="11"/>
          <w:sz w:val="32"/>
          <w:szCs w:val="32"/>
          <w:lang w:eastAsia="zh-CN"/>
        </w:rPr>
        <w:t xml:space="preserve">条 </w:t>
      </w:r>
      <w:r>
        <w:rPr>
          <w:rFonts w:hint="eastAsia" w:ascii="仿宋" w:hAnsi="仿宋" w:eastAsia="仿宋" w:cs="仿宋"/>
          <w:color w:val="auto"/>
          <w:sz w:val="32"/>
          <w:szCs w:val="32"/>
          <w:lang w:eastAsia="zh-CN"/>
        </w:rPr>
        <w:t>本协议关于合作内容以及相关合作事项的表述，并不意味着乙方是相关合作事项必然的、唯一的合作方，不构成限制第三方参与相关合作事项的依据。具体合作最终应当根据法定程序予以确定和落实。</w:t>
      </w:r>
    </w:p>
    <w:p w14:paraId="61ACA8B4">
      <w:pPr>
        <w:widowControl w:val="0"/>
        <w:kinsoku/>
        <w:autoSpaceDE/>
        <w:autoSpaceDN/>
        <w:adjustRightInd/>
        <w:snapToGrid/>
        <w:spacing w:line="360" w:lineRule="auto"/>
        <w:ind w:firstLine="687"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pacing w:val="11"/>
          <w:sz w:val="32"/>
          <w:szCs w:val="32"/>
          <w:lang w:eastAsia="zh-CN"/>
        </w:rPr>
        <w:t>第</w:t>
      </w:r>
      <w:r>
        <w:rPr>
          <w:rFonts w:hint="eastAsia" w:ascii="仿宋" w:hAnsi="仿宋" w:eastAsia="仿宋" w:cs="仿宋"/>
          <w:b/>
          <w:bCs/>
          <w:color w:val="auto"/>
          <w:spacing w:val="11"/>
          <w:sz w:val="32"/>
          <w:szCs w:val="32"/>
          <w:lang w:val="en-US" w:eastAsia="zh-CN"/>
        </w:rPr>
        <w:t>九</w:t>
      </w:r>
      <w:r>
        <w:rPr>
          <w:rFonts w:hint="eastAsia" w:ascii="仿宋" w:hAnsi="仿宋" w:eastAsia="仿宋" w:cs="仿宋"/>
          <w:b/>
          <w:bCs/>
          <w:color w:val="auto"/>
          <w:spacing w:val="11"/>
          <w:sz w:val="32"/>
          <w:szCs w:val="32"/>
          <w:lang w:eastAsia="zh-CN"/>
        </w:rPr>
        <w:t xml:space="preserve">条 </w:t>
      </w:r>
      <w:r>
        <w:rPr>
          <w:rFonts w:hint="eastAsia" w:ascii="仿宋" w:hAnsi="仿宋" w:eastAsia="仿宋" w:cs="仿宋"/>
          <w:color w:val="auto"/>
          <w:sz w:val="32"/>
          <w:szCs w:val="32"/>
          <w:lang w:eastAsia="zh-CN"/>
        </w:rPr>
        <w:t>本协议一式肆份，双方各执贰份，具有同等法律效力，自双方负责人或其授权代表签名并加盖公章或合同专用章之日起生效，协议期五年。</w:t>
      </w:r>
    </w:p>
    <w:p w14:paraId="62411520">
      <w:pPr>
        <w:widowControl w:val="0"/>
        <w:kinsoku/>
        <w:autoSpaceDE/>
        <w:autoSpaceDN/>
        <w:adjustRightInd/>
        <w:snapToGrid/>
        <w:spacing w:line="360" w:lineRule="auto"/>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(本页以下无正文，另附签</w:t>
      </w:r>
      <w:r>
        <w:rPr>
          <w:rFonts w:hint="eastAsia" w:ascii="仿宋" w:hAnsi="仿宋" w:eastAsia="仿宋" w:cs="仿宋"/>
          <w:color w:val="auto"/>
          <w:sz w:val="32"/>
          <w:szCs w:val="32"/>
          <w:lang w:val="en-US" w:eastAsia="zh-CN"/>
        </w:rPr>
        <w:t>名</w:t>
      </w:r>
      <w:r>
        <w:rPr>
          <w:rFonts w:hint="eastAsia" w:ascii="仿宋" w:hAnsi="仿宋" w:eastAsia="仿宋" w:cs="仿宋"/>
          <w:color w:val="auto"/>
          <w:sz w:val="32"/>
          <w:szCs w:val="32"/>
          <w:lang w:eastAsia="zh-CN"/>
        </w:rPr>
        <w:t>盖章页)</w:t>
      </w:r>
    </w:p>
    <w:p w14:paraId="64B8FE1C">
      <w:pPr>
        <w:spacing w:line="360" w:lineRule="auto"/>
        <w:rPr>
          <w:rFonts w:hint="eastAsia" w:ascii="仿宋" w:hAnsi="仿宋" w:eastAsia="仿宋" w:cs="仿宋"/>
          <w:color w:val="auto"/>
          <w:sz w:val="32"/>
          <w:szCs w:val="32"/>
          <w:lang w:eastAsia="zh-CN"/>
        </w:rPr>
        <w:sectPr>
          <w:footerReference r:id="rId5" w:type="default"/>
          <w:pgSz w:w="11906" w:h="16839"/>
          <w:pgMar w:top="1440" w:right="1800" w:bottom="1440" w:left="1800" w:header="0" w:footer="0" w:gutter="0"/>
          <w:pgNumType w:start="1"/>
          <w:cols w:space="720" w:num="1"/>
          <w:docGrid w:linePitch="286" w:charSpace="0"/>
        </w:sectPr>
      </w:pPr>
    </w:p>
    <w:p w14:paraId="27F96139">
      <w:pPr>
        <w:spacing w:before="16" w:line="840" w:lineRule="auto"/>
        <w:ind w:right="1281"/>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eastAsia="zh-CN"/>
        </w:rPr>
        <w:t>（本页为签字盖章页，无正文)</w:t>
      </w:r>
    </w:p>
    <w:p w14:paraId="25139483">
      <w:pPr>
        <w:spacing w:before="16" w:line="840" w:lineRule="auto"/>
        <w:ind w:right="1281"/>
        <w:rPr>
          <w:rFonts w:hint="eastAsia" w:ascii="仿宋" w:hAnsi="仿宋" w:eastAsia="仿宋" w:cs="仿宋"/>
          <w:color w:val="auto"/>
          <w:spacing w:val="-5"/>
          <w:sz w:val="32"/>
          <w:szCs w:val="32"/>
          <w:lang w:eastAsia="zh-CN"/>
        </w:rPr>
      </w:pPr>
    </w:p>
    <w:p w14:paraId="7B352008">
      <w:pPr>
        <w:spacing w:before="16" w:line="840" w:lineRule="auto"/>
        <w:ind w:left="18" w:right="1281" w:firstLine="13"/>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eastAsia="zh-CN"/>
        </w:rPr>
        <w:t>甲方：</w:t>
      </w:r>
      <w:r>
        <w:rPr>
          <w:rFonts w:hint="eastAsia" w:ascii="仿宋" w:hAnsi="仿宋" w:eastAsia="仿宋" w:cs="仿宋"/>
          <w:color w:val="auto"/>
          <w:spacing w:val="8"/>
          <w:sz w:val="32"/>
          <w:szCs w:val="32"/>
          <w:lang w:eastAsia="zh-CN"/>
        </w:rPr>
        <w:t>广州市越秀区人民政府</w:t>
      </w:r>
    </w:p>
    <w:p w14:paraId="401AC6D2">
      <w:pPr>
        <w:spacing w:before="16" w:line="840" w:lineRule="auto"/>
        <w:ind w:left="18" w:right="1281" w:firstLine="13"/>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eastAsia="zh-CN"/>
        </w:rPr>
        <w:t>负责人或授权代表：</w:t>
      </w:r>
    </w:p>
    <w:p w14:paraId="5E4A4020">
      <w:pPr>
        <w:spacing w:before="16" w:line="840" w:lineRule="auto"/>
        <w:ind w:right="1281"/>
        <w:rPr>
          <w:rFonts w:hint="eastAsia" w:ascii="仿宋" w:hAnsi="仿宋" w:eastAsia="仿宋" w:cs="仿宋"/>
          <w:color w:val="auto"/>
          <w:spacing w:val="-5"/>
          <w:sz w:val="32"/>
          <w:szCs w:val="32"/>
          <w:lang w:eastAsia="zh-CN"/>
        </w:rPr>
      </w:pPr>
    </w:p>
    <w:p w14:paraId="618B03A9">
      <w:pPr>
        <w:spacing w:before="16" w:line="840" w:lineRule="auto"/>
        <w:ind w:left="18" w:right="794" w:firstLine="13"/>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eastAsia="zh-CN"/>
        </w:rPr>
        <w:t>乙方：中国邮政储蓄银行股份有限公司广州市分行</w:t>
      </w:r>
    </w:p>
    <w:p w14:paraId="2D1843C9">
      <w:pPr>
        <w:spacing w:before="16" w:line="840" w:lineRule="auto"/>
        <w:ind w:left="18" w:right="1281" w:firstLine="13"/>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eastAsia="zh-CN"/>
        </w:rPr>
        <w:t>负责人或授权代表：</w:t>
      </w:r>
    </w:p>
    <w:p w14:paraId="16ED443F">
      <w:pPr>
        <w:spacing w:before="16" w:line="840" w:lineRule="auto"/>
        <w:ind w:left="18" w:right="1281" w:firstLine="13"/>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eastAsia="zh-CN"/>
        </w:rPr>
        <w:t>签署日期：     年   月   日</w:t>
      </w:r>
    </w:p>
    <w:p w14:paraId="275FF0A4">
      <w:pPr>
        <w:spacing w:line="840" w:lineRule="auto"/>
        <w:ind w:left="18" w:right="1281" w:firstLine="13"/>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eastAsia="zh-CN"/>
        </w:rPr>
        <w:t>签约地点：广州市</w:t>
      </w:r>
    </w:p>
    <w:sectPr>
      <w:footerReference r:id="rId6" w:type="default"/>
      <w:pgSz w:w="11906"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123">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6FC3C">
    <w:pPr>
      <w:pStyle w:val="5"/>
      <w:jc w:val="center"/>
    </w:pPr>
  </w:p>
  <w:p w14:paraId="74C75DA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D07C0">
    <w:pPr>
      <w:pStyle w:val="5"/>
      <w:jc w:val="center"/>
    </w:pPr>
  </w:p>
  <w:p w14:paraId="1F6F354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9ECC">
    <w:pPr>
      <w:pStyle w:val="5"/>
      <w:ind w:left="360"/>
      <w:jc w:val="center"/>
      <w:rPr>
        <w:rFonts w:hint="eastAsia" w:ascii="仿宋" w:hAnsi="仿宋" w:eastAsia="仿宋"/>
        <w:sz w:val="24"/>
        <w:szCs w:val="24"/>
      </w:rPr>
    </w:pPr>
  </w:p>
  <w:p w14:paraId="52B4D5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EA66B">
    <w:pPr>
      <w:pStyle w:val="5"/>
      <w:ind w:left="360"/>
      <w:jc w:val="center"/>
      <w:rPr>
        <w:rFonts w:hint="eastAsia" w:ascii="仿宋" w:hAnsi="仿宋" w:eastAsia="仿宋"/>
        <w:sz w:val="30"/>
        <w:szCs w:val="30"/>
      </w:rPr>
    </w:pPr>
  </w:p>
  <w:p w14:paraId="4553372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0ZmEwODBjMDY0YTU1MGQ0OTA5MDJlOWY5ZGNjYzAifQ=="/>
  </w:docVars>
  <w:rsids>
    <w:rsidRoot w:val="00E12CE3"/>
    <w:rsid w:val="0000031D"/>
    <w:rsid w:val="00050C55"/>
    <w:rsid w:val="0005251F"/>
    <w:rsid w:val="0006019B"/>
    <w:rsid w:val="00063026"/>
    <w:rsid w:val="00086B8C"/>
    <w:rsid w:val="000B17AC"/>
    <w:rsid w:val="000B5FA1"/>
    <w:rsid w:val="000D13FC"/>
    <w:rsid w:val="000F7E14"/>
    <w:rsid w:val="00100418"/>
    <w:rsid w:val="00110676"/>
    <w:rsid w:val="001500DF"/>
    <w:rsid w:val="00187916"/>
    <w:rsid w:val="0019308B"/>
    <w:rsid w:val="001A5BCC"/>
    <w:rsid w:val="001A6FA6"/>
    <w:rsid w:val="001F090E"/>
    <w:rsid w:val="00200C09"/>
    <w:rsid w:val="00215A8A"/>
    <w:rsid w:val="00264AAA"/>
    <w:rsid w:val="00265FE3"/>
    <w:rsid w:val="002844D9"/>
    <w:rsid w:val="002A4110"/>
    <w:rsid w:val="002B5118"/>
    <w:rsid w:val="00305E1D"/>
    <w:rsid w:val="0036364F"/>
    <w:rsid w:val="00376A56"/>
    <w:rsid w:val="0037789D"/>
    <w:rsid w:val="003A1309"/>
    <w:rsid w:val="003B22DA"/>
    <w:rsid w:val="003B28B0"/>
    <w:rsid w:val="003C01E4"/>
    <w:rsid w:val="00460DA4"/>
    <w:rsid w:val="0048684D"/>
    <w:rsid w:val="004A3AA3"/>
    <w:rsid w:val="004B3D2A"/>
    <w:rsid w:val="004B4D0C"/>
    <w:rsid w:val="005141AF"/>
    <w:rsid w:val="005315A2"/>
    <w:rsid w:val="00531D82"/>
    <w:rsid w:val="005428D4"/>
    <w:rsid w:val="005470DC"/>
    <w:rsid w:val="00555DC0"/>
    <w:rsid w:val="005E5913"/>
    <w:rsid w:val="006105F2"/>
    <w:rsid w:val="0063412F"/>
    <w:rsid w:val="006431F6"/>
    <w:rsid w:val="006447EF"/>
    <w:rsid w:val="006519A0"/>
    <w:rsid w:val="006A6944"/>
    <w:rsid w:val="006D6769"/>
    <w:rsid w:val="006E0D36"/>
    <w:rsid w:val="006E231D"/>
    <w:rsid w:val="006F1E11"/>
    <w:rsid w:val="006F5DE9"/>
    <w:rsid w:val="00711E8E"/>
    <w:rsid w:val="00757CE4"/>
    <w:rsid w:val="00794631"/>
    <w:rsid w:val="007B424A"/>
    <w:rsid w:val="007D6AA4"/>
    <w:rsid w:val="007E7444"/>
    <w:rsid w:val="00837168"/>
    <w:rsid w:val="00840BCF"/>
    <w:rsid w:val="00851D98"/>
    <w:rsid w:val="008B3B5C"/>
    <w:rsid w:val="008B5673"/>
    <w:rsid w:val="008B7199"/>
    <w:rsid w:val="008C7934"/>
    <w:rsid w:val="008F680F"/>
    <w:rsid w:val="0090522B"/>
    <w:rsid w:val="009157B2"/>
    <w:rsid w:val="00920E16"/>
    <w:rsid w:val="009C4C9A"/>
    <w:rsid w:val="009E02ED"/>
    <w:rsid w:val="00A06CDD"/>
    <w:rsid w:val="00A26533"/>
    <w:rsid w:val="00A4241B"/>
    <w:rsid w:val="00A6675D"/>
    <w:rsid w:val="00AB2435"/>
    <w:rsid w:val="00B018A5"/>
    <w:rsid w:val="00B13AA3"/>
    <w:rsid w:val="00B26972"/>
    <w:rsid w:val="00B31310"/>
    <w:rsid w:val="00B476F8"/>
    <w:rsid w:val="00B82D85"/>
    <w:rsid w:val="00B864E0"/>
    <w:rsid w:val="00BA23ED"/>
    <w:rsid w:val="00BD3B52"/>
    <w:rsid w:val="00BF32DD"/>
    <w:rsid w:val="00BF4A2F"/>
    <w:rsid w:val="00C514AF"/>
    <w:rsid w:val="00C5420D"/>
    <w:rsid w:val="00C8095C"/>
    <w:rsid w:val="00C955D6"/>
    <w:rsid w:val="00CC7274"/>
    <w:rsid w:val="00D009C3"/>
    <w:rsid w:val="00DA3DA0"/>
    <w:rsid w:val="00DB5278"/>
    <w:rsid w:val="00DC70CD"/>
    <w:rsid w:val="00E12CE3"/>
    <w:rsid w:val="00E13DB2"/>
    <w:rsid w:val="00E42B4B"/>
    <w:rsid w:val="00E6116E"/>
    <w:rsid w:val="00E972C5"/>
    <w:rsid w:val="00EA726D"/>
    <w:rsid w:val="00EC60C4"/>
    <w:rsid w:val="00EC63E0"/>
    <w:rsid w:val="00EC6E9F"/>
    <w:rsid w:val="00EF0044"/>
    <w:rsid w:val="00F6214E"/>
    <w:rsid w:val="00FD34C9"/>
    <w:rsid w:val="00FF40CD"/>
    <w:rsid w:val="0116553A"/>
    <w:rsid w:val="01E84335"/>
    <w:rsid w:val="021138F7"/>
    <w:rsid w:val="021653B1"/>
    <w:rsid w:val="030E7E36"/>
    <w:rsid w:val="03891458"/>
    <w:rsid w:val="04B50EB1"/>
    <w:rsid w:val="07EC6998"/>
    <w:rsid w:val="0A870BFA"/>
    <w:rsid w:val="0AB47515"/>
    <w:rsid w:val="0C9870EE"/>
    <w:rsid w:val="0D363691"/>
    <w:rsid w:val="0D696CDD"/>
    <w:rsid w:val="0DA11FD2"/>
    <w:rsid w:val="0EDD528C"/>
    <w:rsid w:val="0F310D64"/>
    <w:rsid w:val="0F32609E"/>
    <w:rsid w:val="0FA933C0"/>
    <w:rsid w:val="10E13EA3"/>
    <w:rsid w:val="110878FA"/>
    <w:rsid w:val="11401B02"/>
    <w:rsid w:val="118539B9"/>
    <w:rsid w:val="11B04EDA"/>
    <w:rsid w:val="11B524F0"/>
    <w:rsid w:val="14981EBC"/>
    <w:rsid w:val="14DD30C1"/>
    <w:rsid w:val="168D3A3C"/>
    <w:rsid w:val="169A3D88"/>
    <w:rsid w:val="178766DD"/>
    <w:rsid w:val="17CF7B4A"/>
    <w:rsid w:val="18506ACF"/>
    <w:rsid w:val="19FF41B6"/>
    <w:rsid w:val="1A843B49"/>
    <w:rsid w:val="1B63314C"/>
    <w:rsid w:val="1E8A0861"/>
    <w:rsid w:val="1FA12306"/>
    <w:rsid w:val="1FAE2F37"/>
    <w:rsid w:val="20112FE8"/>
    <w:rsid w:val="206B79F7"/>
    <w:rsid w:val="21004E0A"/>
    <w:rsid w:val="21711461"/>
    <w:rsid w:val="21E07116"/>
    <w:rsid w:val="22370D00"/>
    <w:rsid w:val="223905D4"/>
    <w:rsid w:val="232C1EE7"/>
    <w:rsid w:val="236C49D9"/>
    <w:rsid w:val="24577437"/>
    <w:rsid w:val="24FA2C14"/>
    <w:rsid w:val="271F2E2D"/>
    <w:rsid w:val="27545EB0"/>
    <w:rsid w:val="29421AC0"/>
    <w:rsid w:val="29FD638B"/>
    <w:rsid w:val="2ADE440E"/>
    <w:rsid w:val="2C3342E6"/>
    <w:rsid w:val="2C5129BE"/>
    <w:rsid w:val="2D3C0A50"/>
    <w:rsid w:val="2DAC4350"/>
    <w:rsid w:val="2DD4780B"/>
    <w:rsid w:val="301D7787"/>
    <w:rsid w:val="30BC21A6"/>
    <w:rsid w:val="310D3357"/>
    <w:rsid w:val="32E820AA"/>
    <w:rsid w:val="341113B0"/>
    <w:rsid w:val="3574290A"/>
    <w:rsid w:val="36EB44BD"/>
    <w:rsid w:val="36FFB5D7"/>
    <w:rsid w:val="377D1025"/>
    <w:rsid w:val="37FFEFC0"/>
    <w:rsid w:val="38547ABE"/>
    <w:rsid w:val="38D26C34"/>
    <w:rsid w:val="391D4354"/>
    <w:rsid w:val="393B1A65"/>
    <w:rsid w:val="3956631D"/>
    <w:rsid w:val="3A085AAC"/>
    <w:rsid w:val="3A175247"/>
    <w:rsid w:val="3AAD1707"/>
    <w:rsid w:val="3AEE1ADF"/>
    <w:rsid w:val="3BDF8BE0"/>
    <w:rsid w:val="3BEEDC87"/>
    <w:rsid w:val="3BFDF281"/>
    <w:rsid w:val="3C131A3E"/>
    <w:rsid w:val="3C793FA2"/>
    <w:rsid w:val="3D271C45"/>
    <w:rsid w:val="3DFF733A"/>
    <w:rsid w:val="3E870C4E"/>
    <w:rsid w:val="412C782A"/>
    <w:rsid w:val="41A25E9A"/>
    <w:rsid w:val="41F332FF"/>
    <w:rsid w:val="4242307D"/>
    <w:rsid w:val="439255E6"/>
    <w:rsid w:val="43DD4E0B"/>
    <w:rsid w:val="446E63AB"/>
    <w:rsid w:val="44EE4DF6"/>
    <w:rsid w:val="451968CA"/>
    <w:rsid w:val="45451CD5"/>
    <w:rsid w:val="45A96273"/>
    <w:rsid w:val="46E773A0"/>
    <w:rsid w:val="47DD158A"/>
    <w:rsid w:val="484C255F"/>
    <w:rsid w:val="48FF3A76"/>
    <w:rsid w:val="4B1B26BD"/>
    <w:rsid w:val="4B6B53F2"/>
    <w:rsid w:val="4BB74194"/>
    <w:rsid w:val="4C8A7AFA"/>
    <w:rsid w:val="4D15124C"/>
    <w:rsid w:val="4D8FC6C3"/>
    <w:rsid w:val="4E3F9656"/>
    <w:rsid w:val="4EFF5A6E"/>
    <w:rsid w:val="4F9A44F8"/>
    <w:rsid w:val="4FEF632D"/>
    <w:rsid w:val="500100D3"/>
    <w:rsid w:val="51AE7DE7"/>
    <w:rsid w:val="521127DA"/>
    <w:rsid w:val="52302EF2"/>
    <w:rsid w:val="52F67C97"/>
    <w:rsid w:val="53595D73"/>
    <w:rsid w:val="54273E81"/>
    <w:rsid w:val="54B026BD"/>
    <w:rsid w:val="55B81234"/>
    <w:rsid w:val="56026953"/>
    <w:rsid w:val="566B274A"/>
    <w:rsid w:val="56C854A7"/>
    <w:rsid w:val="56D4209E"/>
    <w:rsid w:val="57087F99"/>
    <w:rsid w:val="583F5C3D"/>
    <w:rsid w:val="58907F4D"/>
    <w:rsid w:val="59792D6A"/>
    <w:rsid w:val="59CE54CA"/>
    <w:rsid w:val="59EC5950"/>
    <w:rsid w:val="5AB3646E"/>
    <w:rsid w:val="5B072516"/>
    <w:rsid w:val="5BBB125D"/>
    <w:rsid w:val="5D365D79"/>
    <w:rsid w:val="5DF963CC"/>
    <w:rsid w:val="5DFF624B"/>
    <w:rsid w:val="5E4D0988"/>
    <w:rsid w:val="5E4F35BE"/>
    <w:rsid w:val="5F5628A2"/>
    <w:rsid w:val="5F7A7C33"/>
    <w:rsid w:val="5F7DCB6F"/>
    <w:rsid w:val="5FD749AD"/>
    <w:rsid w:val="5FE66A89"/>
    <w:rsid w:val="60B5379F"/>
    <w:rsid w:val="60F375C4"/>
    <w:rsid w:val="61BA40E2"/>
    <w:rsid w:val="61C80A51"/>
    <w:rsid w:val="624237C3"/>
    <w:rsid w:val="629422CB"/>
    <w:rsid w:val="62BD60DC"/>
    <w:rsid w:val="639ED2A4"/>
    <w:rsid w:val="64B24842"/>
    <w:rsid w:val="650013EB"/>
    <w:rsid w:val="66BB6DD6"/>
    <w:rsid w:val="66D14802"/>
    <w:rsid w:val="67112E9A"/>
    <w:rsid w:val="67F222A1"/>
    <w:rsid w:val="67FF0803"/>
    <w:rsid w:val="68CF6B69"/>
    <w:rsid w:val="69224EEB"/>
    <w:rsid w:val="69C90B37"/>
    <w:rsid w:val="6ABFE735"/>
    <w:rsid w:val="6B6A054F"/>
    <w:rsid w:val="6CE30945"/>
    <w:rsid w:val="6CE726FC"/>
    <w:rsid w:val="6D2601F4"/>
    <w:rsid w:val="6D65184A"/>
    <w:rsid w:val="6D6D4BA2"/>
    <w:rsid w:val="6E274D51"/>
    <w:rsid w:val="6E692816"/>
    <w:rsid w:val="6F1352D6"/>
    <w:rsid w:val="6F5E5C6E"/>
    <w:rsid w:val="6FA10B33"/>
    <w:rsid w:val="6FEF87E5"/>
    <w:rsid w:val="6FF73BD6"/>
    <w:rsid w:val="70293003"/>
    <w:rsid w:val="70485764"/>
    <w:rsid w:val="71B22131"/>
    <w:rsid w:val="72112FA9"/>
    <w:rsid w:val="728E539F"/>
    <w:rsid w:val="72D51220"/>
    <w:rsid w:val="72D80D10"/>
    <w:rsid w:val="72E2393D"/>
    <w:rsid w:val="72F3680E"/>
    <w:rsid w:val="739369E5"/>
    <w:rsid w:val="73BB0B6F"/>
    <w:rsid w:val="75B07D22"/>
    <w:rsid w:val="75DB4D9F"/>
    <w:rsid w:val="76BE1FCB"/>
    <w:rsid w:val="78472B2F"/>
    <w:rsid w:val="78947487"/>
    <w:rsid w:val="7A811C8D"/>
    <w:rsid w:val="7AF7754D"/>
    <w:rsid w:val="7B845591"/>
    <w:rsid w:val="7BEF077C"/>
    <w:rsid w:val="7BFA3AA5"/>
    <w:rsid w:val="7BFE6F58"/>
    <w:rsid w:val="7CBA37F7"/>
    <w:rsid w:val="7CDB38D7"/>
    <w:rsid w:val="7CDF626C"/>
    <w:rsid w:val="7D2340B7"/>
    <w:rsid w:val="7DCFCF1F"/>
    <w:rsid w:val="7DDA6622"/>
    <w:rsid w:val="7E56AE7F"/>
    <w:rsid w:val="7E7A056A"/>
    <w:rsid w:val="7E8B3D29"/>
    <w:rsid w:val="7E9006F1"/>
    <w:rsid w:val="7EDFCA14"/>
    <w:rsid w:val="7EFF54E8"/>
    <w:rsid w:val="7F2C666B"/>
    <w:rsid w:val="7F32F489"/>
    <w:rsid w:val="7F7FC791"/>
    <w:rsid w:val="7FA828F6"/>
    <w:rsid w:val="7FAF8162"/>
    <w:rsid w:val="7FF33B80"/>
    <w:rsid w:val="7FFF08C3"/>
    <w:rsid w:val="8797168D"/>
    <w:rsid w:val="990C20F4"/>
    <w:rsid w:val="9AEABF75"/>
    <w:rsid w:val="9E17A04B"/>
    <w:rsid w:val="A49FF526"/>
    <w:rsid w:val="B7FFAB33"/>
    <w:rsid w:val="BBD7E025"/>
    <w:rsid w:val="BEF0F1B9"/>
    <w:rsid w:val="BFF7E309"/>
    <w:rsid w:val="D6FF57F4"/>
    <w:rsid w:val="D8BBD985"/>
    <w:rsid w:val="D95BDE17"/>
    <w:rsid w:val="DCF5F10E"/>
    <w:rsid w:val="DE4CA192"/>
    <w:rsid w:val="DFAFF3F1"/>
    <w:rsid w:val="E6FF2F55"/>
    <w:rsid w:val="E867D7CF"/>
    <w:rsid w:val="EBB5BDA2"/>
    <w:rsid w:val="EF4E33BD"/>
    <w:rsid w:val="F5CF1EA1"/>
    <w:rsid w:val="F5F66C67"/>
    <w:rsid w:val="F5FF3AA3"/>
    <w:rsid w:val="F7BFED2C"/>
    <w:rsid w:val="F9986522"/>
    <w:rsid w:val="F9AE813C"/>
    <w:rsid w:val="FAF7B730"/>
    <w:rsid w:val="FBD530B5"/>
    <w:rsid w:val="FBFBCCE4"/>
    <w:rsid w:val="FD2F4B54"/>
    <w:rsid w:val="FDF9B333"/>
    <w:rsid w:val="FE7D3E56"/>
    <w:rsid w:val="FF3DC5EA"/>
    <w:rsid w:val="FF7E760A"/>
    <w:rsid w:val="FF9FA0CD"/>
    <w:rsid w:val="FFF75B43"/>
    <w:rsid w:val="FFFA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widowControl w:val="0"/>
      <w:spacing w:before="340" w:after="330" w:line="576" w:lineRule="auto"/>
      <w:jc w:val="both"/>
      <w:outlineLvl w:val="0"/>
    </w:pPr>
    <w:rPr>
      <w:rFonts w:ascii="Times New Roman" w:hAnsi="Times New Roman" w:eastAsia="宋体" w:cs="Times New Roman"/>
      <w:b/>
      <w:bCs/>
      <w:kern w:val="44"/>
      <w:sz w:val="44"/>
      <w:szCs w:val="44"/>
      <w:lang w:eastAsia="zh-CN"/>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style>
  <w:style w:type="paragraph" w:styleId="4">
    <w:name w:val="annotation text"/>
    <w:basedOn w:val="1"/>
    <w:qFormat/>
    <w:uiPriority w:val="0"/>
  </w:style>
  <w:style w:type="paragraph" w:styleId="5">
    <w:name w:val="footer"/>
    <w:basedOn w:val="1"/>
    <w:link w:val="13"/>
    <w:qFormat/>
    <w:uiPriority w:val="99"/>
    <w:pPr>
      <w:tabs>
        <w:tab w:val="center" w:pos="4153"/>
        <w:tab w:val="right" w:pos="8306"/>
      </w:tabs>
    </w:pPr>
    <w:rPr>
      <w:sz w:val="18"/>
      <w:szCs w:val="18"/>
    </w:rPr>
  </w:style>
  <w:style w:type="paragraph" w:styleId="6">
    <w:name w:val="header"/>
    <w:basedOn w:val="1"/>
    <w:link w:val="12"/>
    <w:qFormat/>
    <w:uiPriority w:val="0"/>
    <w:pPr>
      <w:tabs>
        <w:tab w:val="center" w:pos="4153"/>
        <w:tab w:val="right" w:pos="8306"/>
      </w:tabs>
      <w:jc w:val="center"/>
    </w:pPr>
    <w:rPr>
      <w:sz w:val="18"/>
      <w:szCs w:val="18"/>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12">
    <w:name w:val="页眉 字符"/>
    <w:basedOn w:val="8"/>
    <w:link w:val="6"/>
    <w:qFormat/>
    <w:uiPriority w:val="0"/>
    <w:rPr>
      <w:rFonts w:eastAsia="Arial"/>
      <w:snapToGrid w:val="0"/>
      <w:color w:val="000000"/>
      <w:sz w:val="18"/>
      <w:szCs w:val="18"/>
      <w:lang w:eastAsia="en-US"/>
    </w:rPr>
  </w:style>
  <w:style w:type="character" w:customStyle="1" w:styleId="13">
    <w:name w:val="页脚 字符"/>
    <w:basedOn w:val="8"/>
    <w:link w:val="5"/>
    <w:qFormat/>
    <w:uiPriority w:val="99"/>
    <w:rPr>
      <w:rFonts w:eastAsia="Arial"/>
      <w:snapToGrid w:val="0"/>
      <w:color w:val="000000"/>
      <w:sz w:val="18"/>
      <w:szCs w:val="18"/>
      <w:lang w:eastAsia="en-US"/>
    </w:rPr>
  </w:style>
  <w:style w:type="paragraph" w:styleId="14">
    <w:name w:val="List Paragraph"/>
    <w:basedOn w:val="1"/>
    <w:unhideWhenUsed/>
    <w:qFormat/>
    <w:uiPriority w:val="99"/>
    <w:pPr>
      <w:ind w:firstLine="420" w:firstLineChars="200"/>
    </w:pPr>
  </w:style>
  <w:style w:type="paragraph" w:customStyle="1" w:styleId="15">
    <w:name w:val="修订2"/>
    <w:hidden/>
    <w:unhideWhenUsed/>
    <w:qFormat/>
    <w:uiPriority w:val="99"/>
    <w:rPr>
      <w:rFonts w:ascii="Arial" w:hAnsi="Arial" w:eastAsia="Arial" w:cs="Arial"/>
      <w:snapToGrid w:val="0"/>
      <w:color w:val="000000"/>
      <w:sz w:val="21"/>
      <w:szCs w:val="21"/>
      <w:lang w:val="en-US" w:eastAsia="en-US" w:bidi="ar-SA"/>
    </w:rPr>
  </w:style>
  <w:style w:type="paragraph" w:customStyle="1" w:styleId="16">
    <w:name w:val="修订3"/>
    <w:hidden/>
    <w:unhideWhenUsed/>
    <w:qFormat/>
    <w:uiPriority w:val="99"/>
    <w:rPr>
      <w:rFonts w:ascii="Arial" w:hAnsi="Arial" w:eastAsia="Arial" w:cs="Arial"/>
      <w:snapToGrid w:val="0"/>
      <w:color w:val="000000"/>
      <w:sz w:val="21"/>
      <w:szCs w:val="21"/>
      <w:lang w:val="en-US" w:eastAsia="en-US" w:bidi="ar-SA"/>
    </w:rPr>
  </w:style>
  <w:style w:type="paragraph" w:customStyle="1" w:styleId="17">
    <w:name w:val="正文文本缩进1"/>
    <w:basedOn w:val="1"/>
    <w:qFormat/>
    <w:uiPriority w:val="0"/>
    <w:pPr>
      <w:ind w:firstLine="645"/>
    </w:pPr>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3241</Words>
  <Characters>3331</Characters>
  <Lines>37</Lines>
  <Paragraphs>10</Paragraphs>
  <TotalTime>149</TotalTime>
  <ScaleCrop>false</ScaleCrop>
  <LinksUpToDate>false</LinksUpToDate>
  <CharactersWithSpaces>3364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2025-03-27T11:12:00Z</dcterms:created>
  <dc:creator>Kingsoft-PDF</dc:creator>
  <cp:lastModifiedBy>橋</cp:lastModifiedBy>
  <cp:lastPrinted>2025-04-17T01:15:00Z</cp:lastPrinted>
  <dcterms:modified xsi:type="dcterms:W3CDTF">2025-05-13T06:59:16Z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2024-09-29T08:56:49Z</vt:filetime>
  </property>
  <property fmtid="{D5CDD505-2E9C-101B-9397-08002B2CF9AE}" pid="4" name="UsrData">
    <vt:lpwstr>66f8a5cfdbd6fc001f6d9003wl</vt:lpwstr>
  </property>
  <property fmtid="{D5CDD505-2E9C-101B-9397-08002B2CF9AE}" pid="5" name="KSOProductBuildVer">
    <vt:lpwstr>2052-12.1.0.20784</vt:lpwstr>
  </property>
  <property fmtid="{D5CDD505-2E9C-101B-9397-08002B2CF9AE}" pid="6" name="ICV">
    <vt:lpwstr>BBE687DD73A84CEFB72BD1AF9FFA5FD3_13</vt:lpwstr>
  </property>
  <property fmtid="{D5CDD505-2E9C-101B-9397-08002B2CF9AE}" pid="7" name="KSOTemplateDocerSaveRecord">
    <vt:lpwstr>eyJoZGlkIjoiNjlhNmE5ZTQxZTg4YWY3NmZlMzZhM2MwZjMyOTVjYzAiLCJ1c2VySWQiOiI1MTUyNjQyODAifQ==</vt:lpwstr>
  </property>
</Properties>
</file>