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C3392">
      <w:pPr>
        <w:pStyle w:val="11"/>
        <w:keepNext w:val="0"/>
        <w:keepLines w:val="0"/>
        <w:pageBreakBefore w:val="0"/>
        <w:numPr>
          <w:ilvl w:val="0"/>
          <w:numId w:val="0"/>
        </w:numPr>
        <w:tabs>
          <w:tab w:val="left" w:pos="420"/>
          <w:tab w:val="left" w:pos="992"/>
        </w:tabs>
        <w:kinsoku/>
        <w:wordWrap/>
        <w:overflowPunct/>
        <w:topLinePunct w:val="0"/>
        <w:bidi w:val="0"/>
        <w:spacing w:beforeLines="0" w:afterLines="0" w:line="560" w:lineRule="exact"/>
        <w:ind w:firstLine="1320" w:firstLineChars="300"/>
        <w:jc w:val="both"/>
        <w:rPr>
          <w:rFonts w:hint="eastAsia" w:ascii="Times New Roman" w:hAnsi="Times New Roman" w:eastAsia="方正小标宋简体"/>
          <w:bCs/>
          <w:sz w:val="44"/>
          <w:szCs w:val="44"/>
          <w:lang w:eastAsia="zh-CN"/>
        </w:rPr>
      </w:pPr>
      <w:r>
        <w:rPr>
          <w:rFonts w:hint="eastAsia" w:ascii="Times New Roman" w:hAnsi="Times New Roman" w:eastAsia="方正小标宋简体"/>
          <w:bCs/>
          <w:sz w:val="44"/>
          <w:szCs w:val="44"/>
          <w:lang w:val="en-US" w:eastAsia="zh-CN"/>
        </w:rPr>
        <w:t>白云</w:t>
      </w:r>
      <w:r>
        <w:rPr>
          <w:rFonts w:hint="eastAsia" w:ascii="Times New Roman" w:hAnsi="Times New Roman" w:eastAsia="方正小标宋简体"/>
          <w:bCs/>
          <w:sz w:val="44"/>
          <w:szCs w:val="44"/>
          <w:lang w:eastAsia="zh-CN"/>
        </w:rPr>
        <w:t>街</w:t>
      </w:r>
      <w:r>
        <w:rPr>
          <w:rFonts w:hint="eastAsia" w:ascii="Times New Roman" w:hAnsi="Times New Roman" w:eastAsia="方正小标宋简体"/>
          <w:bCs/>
          <w:sz w:val="44"/>
          <w:szCs w:val="44"/>
        </w:rPr>
        <w:t>居家</w:t>
      </w:r>
      <w:r>
        <w:rPr>
          <w:rFonts w:hint="eastAsia" w:ascii="Times New Roman" w:hAnsi="Times New Roman" w:eastAsia="方正小标宋简体"/>
          <w:bCs/>
          <w:sz w:val="44"/>
          <w:szCs w:val="44"/>
          <w:lang w:val="en-US" w:eastAsia="zh-CN"/>
        </w:rPr>
        <w:t>社区</w:t>
      </w:r>
      <w:r>
        <w:rPr>
          <w:rFonts w:hint="eastAsia" w:ascii="Times New Roman" w:hAnsi="Times New Roman" w:eastAsia="方正小标宋简体"/>
          <w:bCs/>
          <w:sz w:val="44"/>
          <w:szCs w:val="44"/>
        </w:rPr>
        <w:t>养老服务</w:t>
      </w:r>
      <w:r>
        <w:rPr>
          <w:rFonts w:hint="eastAsia" w:ascii="Times New Roman" w:hAnsi="Times New Roman" w:eastAsia="方正小标宋简体"/>
          <w:bCs/>
          <w:sz w:val="44"/>
          <w:szCs w:val="44"/>
          <w:lang w:val="en-US" w:eastAsia="zh-CN"/>
        </w:rPr>
        <w:t>项目</w:t>
      </w:r>
    </w:p>
    <w:p w14:paraId="3D36CFF0">
      <w:pPr>
        <w:pStyle w:val="11"/>
        <w:keepNext w:val="0"/>
        <w:keepLines w:val="0"/>
        <w:pageBreakBefore w:val="0"/>
        <w:numPr>
          <w:ilvl w:val="0"/>
          <w:numId w:val="0"/>
        </w:numPr>
        <w:tabs>
          <w:tab w:val="left" w:pos="420"/>
          <w:tab w:val="left" w:pos="992"/>
        </w:tabs>
        <w:kinsoku/>
        <w:wordWrap/>
        <w:overflowPunct/>
        <w:topLinePunct w:val="0"/>
        <w:bidi w:val="0"/>
        <w:spacing w:beforeLines="0" w:afterLines="0" w:line="560" w:lineRule="exact"/>
        <w:ind w:firstLine="3080" w:firstLineChars="700"/>
        <w:jc w:val="both"/>
        <w:rPr>
          <w:rFonts w:ascii="Times New Roman" w:hAnsi="Times New Roman" w:eastAsia="方正小标宋简体"/>
          <w:bCs/>
          <w:sz w:val="44"/>
          <w:szCs w:val="44"/>
        </w:rPr>
      </w:pPr>
      <w:r>
        <w:rPr>
          <w:rFonts w:ascii="Times New Roman" w:hAnsi="Times New Roman" w:eastAsia="方正小标宋简体"/>
          <w:bCs/>
          <w:sz w:val="44"/>
          <w:szCs w:val="44"/>
        </w:rPr>
        <w:t>用户</w:t>
      </w:r>
      <w:r>
        <w:rPr>
          <w:rFonts w:hint="eastAsia" w:ascii="Times New Roman" w:hAnsi="Times New Roman" w:eastAsia="方正小标宋简体"/>
          <w:bCs/>
          <w:sz w:val="44"/>
          <w:szCs w:val="44"/>
        </w:rPr>
        <w:t>需求</w:t>
      </w:r>
      <w:r>
        <w:rPr>
          <w:rFonts w:ascii="Times New Roman" w:hAnsi="Times New Roman" w:eastAsia="方正小标宋简体"/>
          <w:bCs/>
          <w:sz w:val="44"/>
          <w:szCs w:val="44"/>
        </w:rPr>
        <w:t>书</w:t>
      </w:r>
    </w:p>
    <w:p w14:paraId="315A7775">
      <w:pPr>
        <w:pStyle w:val="10"/>
        <w:rPr>
          <w:rFonts w:ascii="Times New Roman" w:hAnsi="Times New Roman"/>
        </w:rPr>
      </w:pPr>
    </w:p>
    <w:p w14:paraId="11B09728">
      <w:pPr>
        <w:keepNext w:val="0"/>
        <w:keepLines w:val="0"/>
        <w:pageBreakBefore w:val="0"/>
        <w:kinsoku/>
        <w:wordWrap/>
        <w:overflowPunct/>
        <w:topLinePunct w:val="0"/>
        <w:bidi w:val="0"/>
        <w:spacing w:line="560" w:lineRule="exact"/>
        <w:rPr>
          <w:rFonts w:hint="eastAsia" w:ascii="Times New Roman" w:hAnsi="Times New Roman" w:eastAsia="仿宋" w:cs="仿宋"/>
          <w:b/>
          <w:kern w:val="24"/>
          <w:sz w:val="32"/>
          <w:szCs w:val="32"/>
        </w:rPr>
      </w:pPr>
      <w:r>
        <w:rPr>
          <w:rFonts w:hint="eastAsia" w:ascii="Times New Roman" w:hAnsi="Times New Roman" w:eastAsia="仿宋" w:cs="仿宋"/>
          <w:b/>
          <w:kern w:val="24"/>
          <w:sz w:val="32"/>
          <w:szCs w:val="32"/>
        </w:rPr>
        <w:t>注：</w:t>
      </w:r>
    </w:p>
    <w:p w14:paraId="7994863F">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 w:cs="仿宋"/>
          <w:b/>
          <w:kern w:val="24"/>
          <w:sz w:val="32"/>
          <w:szCs w:val="32"/>
        </w:rPr>
      </w:pPr>
      <w:r>
        <w:rPr>
          <w:rFonts w:hint="eastAsia" w:ascii="Times New Roman" w:hAnsi="Times New Roman" w:eastAsia="仿宋" w:cs="仿宋"/>
          <w:b/>
          <w:kern w:val="24"/>
          <w:sz w:val="32"/>
          <w:szCs w:val="32"/>
        </w:rPr>
        <w:t>1. 投标人须对所投项目/包组进行整体响应，任何只对其中一部分内容进行的响应都被视为无效投标。</w:t>
      </w:r>
    </w:p>
    <w:p w14:paraId="71DA891F">
      <w:pPr>
        <w:keepNext w:val="0"/>
        <w:keepLines w:val="0"/>
        <w:pageBreakBefore w:val="0"/>
        <w:kinsoku/>
        <w:wordWrap/>
        <w:overflowPunct/>
        <w:topLinePunct w:val="0"/>
        <w:bidi w:val="0"/>
        <w:spacing w:line="560" w:lineRule="exact"/>
        <w:ind w:firstLine="643" w:firstLineChars="200"/>
        <w:rPr>
          <w:rFonts w:hint="eastAsia" w:ascii="Times New Roman" w:hAnsi="Times New Roman" w:eastAsia="仿宋" w:cs="仿宋"/>
          <w:b/>
          <w:kern w:val="24"/>
          <w:sz w:val="32"/>
          <w:szCs w:val="32"/>
        </w:rPr>
      </w:pPr>
      <w:r>
        <w:rPr>
          <w:rFonts w:hint="eastAsia" w:ascii="Times New Roman" w:hAnsi="Times New Roman" w:eastAsia="仿宋" w:cs="仿宋"/>
          <w:b/>
          <w:kern w:val="24"/>
          <w:sz w:val="32"/>
          <w:szCs w:val="32"/>
        </w:rPr>
        <w:t>2. 标有“★”的条款为实质性响应条款，投标人如有任何一条未完全响应，则将导致其投标无效。</w:t>
      </w:r>
    </w:p>
    <w:p w14:paraId="59DFED88">
      <w:pPr>
        <w:pStyle w:val="2"/>
        <w:rPr>
          <w:rFonts w:hint="eastAsia" w:ascii="Times New Roman" w:hAnsi="Times New Roman"/>
        </w:rPr>
      </w:pPr>
    </w:p>
    <w:p w14:paraId="6F9A3CE6">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仿宋_GB2312"/>
          <w:b/>
          <w:bCs/>
          <w:color w:val="000000"/>
          <w:sz w:val="32"/>
          <w:szCs w:val="32"/>
          <w:lang w:val="en-US" w:bidi="ar"/>
        </w:rPr>
      </w:pPr>
      <w:r>
        <w:rPr>
          <w:rFonts w:hint="eastAsia" w:ascii="Times New Roman" w:hAnsi="Times New Roman" w:eastAsia="仿宋_GB2312" w:cs="仿宋_GB2312"/>
          <w:b/>
          <w:bCs/>
          <w:color w:val="000000"/>
          <w:sz w:val="32"/>
          <w:szCs w:val="32"/>
          <w:lang w:val="en-US" w:eastAsia="zh-CN" w:bidi="ar"/>
        </w:rPr>
        <w:t>一、</w:t>
      </w:r>
      <w:r>
        <w:rPr>
          <w:rFonts w:hint="eastAsia" w:ascii="Times New Roman" w:hAnsi="Times New Roman" w:eastAsia="仿宋_GB2312" w:cs="仿宋_GB2312"/>
          <w:b/>
          <w:bCs/>
          <w:color w:val="000000"/>
          <w:sz w:val="32"/>
          <w:szCs w:val="32"/>
          <w:lang w:val="en-US" w:bidi="ar"/>
        </w:rPr>
        <w:t xml:space="preserve">项目概况 </w:t>
      </w:r>
    </w:p>
    <w:p w14:paraId="06E144A4">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color w:val="000000"/>
          <w:sz w:val="32"/>
          <w:szCs w:val="32"/>
          <w:lang w:val="en-US" w:bidi="ar"/>
        </w:rPr>
        <w:t xml:space="preserve">（一）项目名称 </w:t>
      </w:r>
    </w:p>
    <w:p w14:paraId="39AB113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lang w:val="en-US" w:eastAsia="zh-CN" w:bidi="ar"/>
        </w:rPr>
        <w:t>广州市</w:t>
      </w:r>
      <w:r>
        <w:rPr>
          <w:rFonts w:hint="eastAsia" w:ascii="Times New Roman" w:hAnsi="Times New Roman" w:eastAsia="仿宋_GB2312" w:cs="仿宋_GB2312"/>
          <w:color w:val="000000"/>
          <w:sz w:val="32"/>
          <w:szCs w:val="32"/>
          <w:lang w:val="en-US" w:bidi="ar"/>
        </w:rPr>
        <w:t>越秀区</w:t>
      </w:r>
      <w:r>
        <w:rPr>
          <w:rFonts w:hint="eastAsia" w:ascii="Times New Roman" w:hAnsi="Times New Roman" w:eastAsia="仿宋_GB2312" w:cs="仿宋_GB2312"/>
          <w:color w:val="000000"/>
          <w:sz w:val="32"/>
          <w:szCs w:val="32"/>
          <w:lang w:val="en-US" w:eastAsia="zh-CN" w:bidi="ar"/>
        </w:rPr>
        <w:t>白云街</w:t>
      </w:r>
      <w:r>
        <w:rPr>
          <w:rFonts w:hint="eastAsia" w:ascii="Times New Roman" w:hAnsi="Times New Roman" w:eastAsia="仿宋_GB2312" w:cs="仿宋_GB2312"/>
          <w:color w:val="000000"/>
          <w:sz w:val="32"/>
          <w:szCs w:val="32"/>
          <w:lang w:val="en-US" w:bidi="ar"/>
        </w:rPr>
        <w:t>居家社区养老服务项目。</w:t>
      </w:r>
    </w:p>
    <w:p w14:paraId="05B1FE0B">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lang w:val="en-US" w:bidi="ar"/>
        </w:rPr>
      </w:pPr>
      <w:r>
        <w:rPr>
          <w:rFonts w:hint="eastAsia" w:ascii="Times New Roman" w:hAnsi="Times New Roman" w:eastAsia="仿宋_GB2312" w:cs="仿宋_GB2312"/>
          <w:b/>
          <w:bCs/>
          <w:color w:val="000000"/>
          <w:sz w:val="32"/>
          <w:szCs w:val="32"/>
          <w:lang w:val="en-US" w:bidi="ar"/>
        </w:rPr>
        <w:t xml:space="preserve">（二）服务期 </w:t>
      </w:r>
    </w:p>
    <w:p w14:paraId="1B4FA29B">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bidi="ar"/>
        </w:rPr>
      </w:pPr>
      <w:r>
        <w:rPr>
          <w:rFonts w:hint="eastAsia" w:ascii="Times New Roman" w:hAnsi="Times New Roman" w:eastAsia="仿宋_GB2312" w:cs="仿宋_GB2312"/>
          <w:color w:val="000000"/>
          <w:sz w:val="32"/>
          <w:szCs w:val="32"/>
          <w:lang w:val="en-US" w:bidi="ar"/>
        </w:rPr>
        <w:t>本项目服务期为</w:t>
      </w:r>
      <w:r>
        <w:rPr>
          <w:rFonts w:hint="eastAsia" w:ascii="Times New Roman" w:hAnsi="Times New Roman" w:eastAsia="仿宋_GB2312" w:cs="仿宋_GB2312"/>
          <w:color w:val="000000"/>
          <w:sz w:val="32"/>
          <w:szCs w:val="32"/>
          <w:highlight w:val="yellow"/>
          <w:lang w:val="en-US" w:bidi="ar"/>
        </w:rPr>
        <w:t>202</w:t>
      </w:r>
      <w:r>
        <w:rPr>
          <w:rFonts w:hint="eastAsia" w:ascii="Times New Roman" w:hAnsi="Times New Roman" w:eastAsia="仿宋_GB2312" w:cs="仿宋_GB2312"/>
          <w:color w:val="000000"/>
          <w:sz w:val="32"/>
          <w:szCs w:val="32"/>
          <w:highlight w:val="yellow"/>
          <w:lang w:val="en-US" w:eastAsia="zh-CN" w:bidi="ar"/>
        </w:rPr>
        <w:t>5</w:t>
      </w:r>
      <w:r>
        <w:rPr>
          <w:rFonts w:hint="eastAsia" w:ascii="Times New Roman" w:hAnsi="Times New Roman" w:eastAsia="仿宋_GB2312" w:cs="仿宋_GB2312"/>
          <w:color w:val="000000"/>
          <w:sz w:val="32"/>
          <w:szCs w:val="32"/>
          <w:highlight w:val="yellow"/>
          <w:lang w:val="en-US" w:bidi="ar"/>
        </w:rPr>
        <w:t>年</w:t>
      </w:r>
      <w:r>
        <w:rPr>
          <w:rFonts w:hint="eastAsia" w:ascii="Times New Roman" w:eastAsia="仿宋_GB2312" w:cs="仿宋_GB2312"/>
          <w:color w:val="000000"/>
          <w:sz w:val="32"/>
          <w:szCs w:val="32"/>
          <w:highlight w:val="yellow"/>
          <w:lang w:val="en-US" w:eastAsia="zh-CN" w:bidi="ar"/>
        </w:rPr>
        <w:t>3</w:t>
      </w:r>
      <w:r>
        <w:rPr>
          <w:rFonts w:hint="eastAsia" w:ascii="Times New Roman" w:hAnsi="Times New Roman" w:eastAsia="仿宋_GB2312" w:cs="仿宋_GB2312"/>
          <w:color w:val="000000"/>
          <w:sz w:val="32"/>
          <w:szCs w:val="32"/>
          <w:highlight w:val="yellow"/>
          <w:lang w:val="en-US" w:bidi="ar"/>
        </w:rPr>
        <w:t>月1日</w:t>
      </w:r>
      <w:r>
        <w:rPr>
          <w:rFonts w:hint="eastAsia" w:ascii="Times New Roman" w:hAnsi="Times New Roman" w:eastAsia="仿宋_GB2312" w:cs="仿宋_GB2312"/>
          <w:color w:val="000000"/>
          <w:sz w:val="32"/>
          <w:szCs w:val="32"/>
          <w:highlight w:val="none"/>
          <w:lang w:val="en-US" w:bidi="ar"/>
        </w:rPr>
        <w:t>至202</w:t>
      </w:r>
      <w:r>
        <w:rPr>
          <w:rFonts w:hint="eastAsia" w:ascii="Times New Roman" w:hAnsi="Times New Roman" w:eastAsia="仿宋_GB2312" w:cs="仿宋_GB2312"/>
          <w:color w:val="000000"/>
          <w:sz w:val="32"/>
          <w:szCs w:val="32"/>
          <w:highlight w:val="none"/>
          <w:lang w:val="en-US" w:eastAsia="zh-CN" w:bidi="ar"/>
        </w:rPr>
        <w:t>5</w:t>
      </w:r>
      <w:r>
        <w:rPr>
          <w:rFonts w:hint="eastAsia" w:ascii="Times New Roman" w:hAnsi="Times New Roman" w:eastAsia="仿宋_GB2312" w:cs="仿宋_GB2312"/>
          <w:color w:val="000000"/>
          <w:sz w:val="32"/>
          <w:szCs w:val="32"/>
          <w:highlight w:val="none"/>
          <w:lang w:val="en-US" w:bidi="ar"/>
        </w:rPr>
        <w:t>年12月31日</w:t>
      </w:r>
      <w:r>
        <w:rPr>
          <w:rFonts w:hint="eastAsia" w:ascii="Times New Roman" w:hAnsi="Times New Roman" w:eastAsia="仿宋_GB2312" w:cs="仿宋_GB2312"/>
          <w:color w:val="000000"/>
          <w:sz w:val="32"/>
          <w:szCs w:val="32"/>
          <w:lang w:val="en-US" w:bidi="ar"/>
        </w:rPr>
        <w:t>止。合同期内由越秀区居家养老服务指导中心统一开展服务评估</w:t>
      </w:r>
      <w:r>
        <w:rPr>
          <w:rFonts w:hint="eastAsia" w:ascii="Times New Roman" w:hAnsi="Times New Roman" w:eastAsia="仿宋_GB2312" w:cs="仿宋_GB2312"/>
          <w:color w:val="000000"/>
          <w:sz w:val="32"/>
          <w:szCs w:val="32"/>
          <w:lang w:val="en-US" w:eastAsia="zh-CN" w:bidi="ar"/>
        </w:rPr>
        <w:t>。</w:t>
      </w:r>
      <w:r>
        <w:rPr>
          <w:rFonts w:hint="eastAsia" w:ascii="Times New Roman" w:hAnsi="Times New Roman" w:eastAsia="仿宋_GB2312" w:cs="仿宋_GB2312"/>
          <w:color w:val="000000"/>
          <w:sz w:val="32"/>
          <w:szCs w:val="32"/>
          <w:lang w:val="en-US" w:bidi="ar"/>
        </w:rPr>
        <w:t>评估不合格的解除合同。</w:t>
      </w:r>
    </w:p>
    <w:p w14:paraId="688E24F2">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Times New Roman" w:hAnsi="Times New Roman" w:eastAsia="仿宋_GB2312" w:cs="仿宋_GB2312"/>
          <w:b/>
          <w:bCs/>
          <w:color w:val="000000"/>
          <w:sz w:val="32"/>
          <w:szCs w:val="32"/>
          <w:lang w:val="en-US" w:bidi="ar"/>
        </w:rPr>
      </w:pPr>
      <w:r>
        <w:rPr>
          <w:rFonts w:hint="eastAsia" w:ascii="Times New Roman" w:hAnsi="Times New Roman" w:eastAsia="仿宋_GB2312" w:cs="仿宋_GB2312"/>
          <w:b/>
          <w:bCs/>
          <w:color w:val="000000"/>
          <w:sz w:val="32"/>
          <w:szCs w:val="32"/>
          <w:lang w:val="en-US" w:bidi="ar"/>
        </w:rPr>
        <w:t xml:space="preserve">（三）项目报价 </w:t>
      </w:r>
    </w:p>
    <w:p w14:paraId="73DC98BD">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rPr>
      </w:pPr>
      <w:r>
        <w:rPr>
          <w:rFonts w:hint="eastAsia" w:ascii="Times New Roman" w:hAnsi="Times New Roman" w:eastAsia="仿宋_GB2312" w:cs="仿宋_GB2312"/>
          <w:color w:val="000000"/>
          <w:sz w:val="32"/>
          <w:szCs w:val="32"/>
          <w:lang w:val="en-US" w:bidi="ar"/>
        </w:rPr>
        <w:t>项目资金含服务设施运营经费、资助对象资助经费、服务奖励经费（运营经费和奖励经费一般按一年的标准，不足一年或超过一年的按比例结算）。服务设施运营经费包括街综合养老服务中心（颐康中心）年度项目运营经费为40万元/年、社区颐康服务站项目运营经费为人民币5万元/年。服务奖励经费包括，街综合养老服务中心（颐康中心）项目年度考核评估为优秀、良好、合格等级的，每年分别给予30万元、20万元、10万元服务奖励；社区颐康服务站项目年度评估为优秀、良好、合格等级的，每年每个分别给予3万元、2万元、1万元服务奖励。具体以市、区民政部门文件和下拨经费为准。服务资助经费指文件规定的服务对象可申请的政府服务资助，包括《广州市居家社区养老服务管理办法》规定的</w:t>
      </w:r>
      <w:r>
        <w:rPr>
          <w:rFonts w:hint="eastAsia" w:ascii="Times New Roman" w:hAnsi="Times New Roman" w:eastAsia="仿宋_GB2312" w:cs="仿宋_GB2312"/>
          <w:color w:val="000000"/>
          <w:sz w:val="32"/>
          <w:szCs w:val="32"/>
          <w:lang w:val="en-US" w:eastAsia="zh-CN" w:bidi="ar"/>
        </w:rPr>
        <w:t>八</w:t>
      </w:r>
      <w:r>
        <w:rPr>
          <w:rFonts w:hint="eastAsia" w:ascii="Times New Roman" w:hAnsi="Times New Roman" w:eastAsia="仿宋_GB2312" w:cs="仿宋_GB2312"/>
          <w:color w:val="000000"/>
          <w:sz w:val="32"/>
          <w:szCs w:val="32"/>
          <w:lang w:val="en-US" w:bidi="ar"/>
        </w:rPr>
        <w:t>类资助对象、《广州市人民政府办公厅关于落实特困人员救助供养工作的通知》（穗府办规〔2023〕8号文）规定的特困人员。</w:t>
      </w:r>
    </w:p>
    <w:p w14:paraId="0490CE18">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二、项目需求</w:t>
      </w:r>
    </w:p>
    <w:p w14:paraId="41F3D823">
      <w:pPr>
        <w:keepNext w:val="0"/>
        <w:keepLines w:val="0"/>
        <w:pageBreakBefore w:val="0"/>
        <w:widowControl/>
        <w:kinsoku/>
        <w:wordWrap/>
        <w:overflowPunct/>
        <w:topLinePunct w:val="0"/>
        <w:autoSpaceDE w:val="0"/>
        <w:autoSpaceDN w:val="0"/>
        <w:bidi w:val="0"/>
        <w:adjustRightInd/>
        <w:snapToGrid/>
        <w:spacing w:line="560" w:lineRule="exact"/>
        <w:ind w:firstLine="562" w:firstLineChars="200"/>
        <w:textAlignment w:val="auto"/>
        <w:rPr>
          <w:rFonts w:hint="eastAsia" w:ascii="Times New Roman" w:hAnsi="Times New Roman" w:eastAsia="仿宋_GB2312" w:cs="仿宋_GB2312"/>
          <w:b/>
          <w:bCs/>
          <w:color w:val="000000"/>
          <w:sz w:val="32"/>
          <w:szCs w:val="32"/>
          <w:lang w:val="en-US" w:bidi="ar"/>
        </w:rPr>
      </w:pPr>
      <w:r>
        <w:rPr>
          <w:rFonts w:hint="eastAsia" w:ascii="Times New Roman" w:hAnsi="Times New Roman" w:eastAsia="仿宋_GB2312" w:cs="仿宋_GB2312"/>
          <w:b/>
          <w:kern w:val="24"/>
          <w:sz w:val="28"/>
          <w:szCs w:val="28"/>
        </w:rPr>
        <w:t>★</w:t>
      </w:r>
      <w:r>
        <w:rPr>
          <w:rFonts w:hint="eastAsia" w:ascii="Times New Roman" w:hAnsi="Times New Roman" w:eastAsia="仿宋_GB2312" w:cs="仿宋_GB2312"/>
          <w:b/>
          <w:bCs/>
          <w:color w:val="000000"/>
          <w:sz w:val="32"/>
          <w:szCs w:val="32"/>
          <w:lang w:val="en-US" w:bidi="ar"/>
        </w:rPr>
        <w:t>（一）</w:t>
      </w:r>
      <w:r>
        <w:rPr>
          <w:rFonts w:hint="eastAsia" w:ascii="Times New Roman" w:hAnsi="Times New Roman" w:eastAsia="仿宋_GB2312" w:cs="仿宋_GB2312"/>
          <w:b/>
          <w:bCs/>
          <w:color w:val="000000"/>
          <w:sz w:val="32"/>
          <w:szCs w:val="32"/>
          <w:lang w:val="en-US" w:eastAsia="zh-CN" w:bidi="ar"/>
        </w:rPr>
        <w:t>运营</w:t>
      </w:r>
      <w:r>
        <w:rPr>
          <w:rFonts w:hint="eastAsia" w:ascii="Times New Roman" w:hAnsi="Times New Roman" w:eastAsia="仿宋_GB2312" w:cs="仿宋_GB2312"/>
          <w:b/>
          <w:bCs/>
          <w:color w:val="000000"/>
          <w:sz w:val="32"/>
          <w:szCs w:val="32"/>
          <w:lang w:val="en-US" w:bidi="ar"/>
        </w:rPr>
        <w:t>设施</w:t>
      </w:r>
    </w:p>
    <w:p w14:paraId="71F46734">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运营</w:t>
      </w:r>
      <w:r>
        <w:rPr>
          <w:rFonts w:hint="eastAsia" w:ascii="Times New Roman" w:hAnsi="Times New Roman" w:eastAsia="仿宋_GB2312" w:cs="仿宋_GB2312"/>
          <w:sz w:val="32"/>
          <w:szCs w:val="32"/>
          <w:u w:val="single"/>
        </w:rPr>
        <w:t>颐康中心、长者饭堂、颐康服务站</w:t>
      </w:r>
      <w:r>
        <w:rPr>
          <w:rFonts w:hint="eastAsia" w:ascii="Times New Roman" w:hAnsi="Times New Roman" w:eastAsia="仿宋_GB2312" w:cs="仿宋_GB2312"/>
          <w:sz w:val="32"/>
          <w:szCs w:val="32"/>
        </w:rPr>
        <w:t>等服务场地设施，充分发挥场地设备的功能作用，以片区服务点为依托，为老年人开展专业化服务。</w:t>
      </w:r>
    </w:p>
    <w:p w14:paraId="778BE305">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Times New Roman" w:hAnsi="Times New Roman" w:eastAsia="仿宋_GB2312" w:cs="仿宋_GB2312"/>
          <w:b/>
          <w:sz w:val="32"/>
          <w:szCs w:val="32"/>
          <w:lang w:val="en-US"/>
        </w:rPr>
      </w:pPr>
      <w:r>
        <w:rPr>
          <w:rFonts w:hint="eastAsia" w:ascii="Times New Roman" w:hAnsi="Times New Roman" w:eastAsia="仿宋_GB2312" w:cs="仿宋_GB2312"/>
          <w:b/>
          <w:sz w:val="32"/>
          <w:szCs w:val="32"/>
        </w:rPr>
        <w:t>表</w:t>
      </w:r>
      <w:r>
        <w:rPr>
          <w:rFonts w:hint="eastAsia" w:ascii="Times New Roman" w:hAnsi="Times New Roman" w:eastAsia="仿宋_GB2312" w:cs="仿宋_GB2312"/>
          <w:b/>
          <w:sz w:val="32"/>
          <w:szCs w:val="32"/>
          <w:lang w:val="en-US" w:eastAsia="zh-CN"/>
        </w:rPr>
        <w:t xml:space="preserve">1 </w:t>
      </w:r>
      <w:r>
        <w:rPr>
          <w:rFonts w:hint="eastAsia" w:ascii="Times New Roman" w:hAnsi="Times New Roman" w:eastAsia="仿宋_GB2312" w:cs="仿宋_GB2312"/>
          <w:b/>
          <w:sz w:val="32"/>
          <w:szCs w:val="32"/>
        </w:rPr>
        <w:t xml:space="preserve"> 服务设施一览</w:t>
      </w:r>
      <w:bookmarkStart w:id="0" w:name="page3"/>
      <w:bookmarkEnd w:id="0"/>
      <w:bookmarkStart w:id="1" w:name="page2"/>
      <w:bookmarkEnd w:id="1"/>
      <w:r>
        <w:rPr>
          <w:rFonts w:hint="eastAsia" w:ascii="Times New Roman" w:hAnsi="Times New Roman" w:eastAsia="仿宋_GB2312" w:cs="仿宋_GB2312"/>
          <w:b/>
          <w:sz w:val="32"/>
          <w:szCs w:val="32"/>
          <w:lang w:val="en-US"/>
        </w:rPr>
        <w:t>表</w:t>
      </w:r>
    </w:p>
    <w:tbl>
      <w:tblPr>
        <w:tblStyle w:val="4"/>
        <w:tblW w:w="8310" w:type="dxa"/>
        <w:tblInd w:w="39" w:type="dxa"/>
        <w:tblLayout w:type="autofit"/>
        <w:tblCellMar>
          <w:top w:w="0" w:type="dxa"/>
          <w:left w:w="108" w:type="dxa"/>
          <w:bottom w:w="0" w:type="dxa"/>
          <w:right w:w="108" w:type="dxa"/>
        </w:tblCellMar>
      </w:tblPr>
      <w:tblGrid>
        <w:gridCol w:w="457"/>
        <w:gridCol w:w="2874"/>
        <w:gridCol w:w="3742"/>
        <w:gridCol w:w="1237"/>
      </w:tblGrid>
      <w:tr w14:paraId="7ABC2F4F">
        <w:tblPrEx>
          <w:tblCellMar>
            <w:top w:w="0" w:type="dxa"/>
            <w:left w:w="108" w:type="dxa"/>
            <w:bottom w:w="0" w:type="dxa"/>
            <w:right w:w="108" w:type="dxa"/>
          </w:tblCellMar>
        </w:tblPrEx>
        <w:trPr>
          <w:trHeight w:val="53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54EC0">
            <w:pPr>
              <w:keepNext w:val="0"/>
              <w:keepLines w:val="0"/>
              <w:pageBreakBefore w:val="0"/>
              <w:widowControl/>
              <w:kinsoku/>
              <w:wordWrap/>
              <w:overflowPunct/>
              <w:topLinePunct w:val="0"/>
              <w:bidi w:val="0"/>
              <w:spacing w:line="560" w:lineRule="exact"/>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lang w:val="en-US" w:bidi="ar"/>
              </w:rPr>
              <w:t>序号</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D2629">
            <w:pPr>
              <w:keepNext w:val="0"/>
              <w:keepLines w:val="0"/>
              <w:pageBreakBefore w:val="0"/>
              <w:widowControl/>
              <w:kinsoku/>
              <w:wordWrap/>
              <w:overflowPunct/>
              <w:topLinePunct w:val="0"/>
              <w:bidi w:val="0"/>
              <w:spacing w:line="560" w:lineRule="exact"/>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lang w:val="en-US" w:bidi="ar"/>
              </w:rPr>
              <w:t>设施名称</w:t>
            </w:r>
          </w:p>
        </w:tc>
        <w:tc>
          <w:tcPr>
            <w:tcW w:w="3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A756B">
            <w:pPr>
              <w:keepNext w:val="0"/>
              <w:keepLines w:val="0"/>
              <w:pageBreakBefore w:val="0"/>
              <w:widowControl/>
              <w:kinsoku/>
              <w:wordWrap/>
              <w:overflowPunct/>
              <w:topLinePunct w:val="0"/>
              <w:bidi w:val="0"/>
              <w:spacing w:line="560" w:lineRule="exact"/>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lang w:val="en-US" w:bidi="ar"/>
              </w:rPr>
              <w:t>设施地址（具体到层）</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0EDE6">
            <w:pPr>
              <w:keepNext w:val="0"/>
              <w:keepLines w:val="0"/>
              <w:pageBreakBefore w:val="0"/>
              <w:widowControl/>
              <w:kinsoku/>
              <w:wordWrap/>
              <w:overflowPunct/>
              <w:topLinePunct w:val="0"/>
              <w:bidi w:val="0"/>
              <w:spacing w:line="560" w:lineRule="exact"/>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lang w:val="en-US" w:bidi="ar"/>
              </w:rPr>
              <w:t>可使用面积（㎡）</w:t>
            </w:r>
          </w:p>
        </w:tc>
      </w:tr>
      <w:tr w14:paraId="2F9286DE">
        <w:tblPrEx>
          <w:tblCellMar>
            <w:top w:w="0" w:type="dxa"/>
            <w:left w:w="108" w:type="dxa"/>
            <w:bottom w:w="0" w:type="dxa"/>
            <w:right w:w="108" w:type="dxa"/>
          </w:tblCellMar>
        </w:tblPrEx>
        <w:trPr>
          <w:trHeight w:val="6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26DBD">
            <w:pPr>
              <w:keepNext w:val="0"/>
              <w:keepLines w:val="0"/>
              <w:pageBreakBefore w:val="0"/>
              <w:kinsoku/>
              <w:wordWrap/>
              <w:overflowPunct/>
              <w:topLinePunct w:val="0"/>
              <w:bidi w:val="0"/>
              <w:spacing w:line="560" w:lineRule="exact"/>
              <w:jc w:val="center"/>
              <w:rPr>
                <w:rFonts w:hint="eastAsia" w:ascii="Times New Roman" w:hAnsi="Times New Roman" w:eastAsia="仿宋_GB2312" w:cs="仿宋_GB2312"/>
                <w:b/>
                <w:bCs/>
                <w:color w:val="000000"/>
                <w:sz w:val="24"/>
                <w:szCs w:val="24"/>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0F5DF">
            <w:pPr>
              <w:keepNext w:val="0"/>
              <w:keepLines w:val="0"/>
              <w:pageBreakBefore w:val="0"/>
              <w:kinsoku/>
              <w:wordWrap/>
              <w:overflowPunct/>
              <w:topLinePunct w:val="0"/>
              <w:bidi w:val="0"/>
              <w:spacing w:line="560" w:lineRule="exact"/>
              <w:jc w:val="center"/>
              <w:rPr>
                <w:rFonts w:hint="eastAsia" w:ascii="Times New Roman" w:hAnsi="Times New Roman" w:eastAsia="仿宋_GB2312" w:cs="仿宋_GB2312"/>
                <w:b/>
                <w:bCs/>
                <w:color w:val="000000"/>
                <w:sz w:val="24"/>
                <w:szCs w:val="24"/>
              </w:rPr>
            </w:pPr>
          </w:p>
        </w:tc>
        <w:tc>
          <w:tcPr>
            <w:tcW w:w="3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8BB31">
            <w:pPr>
              <w:keepNext w:val="0"/>
              <w:keepLines w:val="0"/>
              <w:pageBreakBefore w:val="0"/>
              <w:kinsoku/>
              <w:wordWrap/>
              <w:overflowPunct/>
              <w:topLinePunct w:val="0"/>
              <w:bidi w:val="0"/>
              <w:spacing w:line="560" w:lineRule="exact"/>
              <w:jc w:val="center"/>
              <w:rPr>
                <w:rFonts w:hint="eastAsia" w:ascii="Times New Roman" w:hAnsi="Times New Roman" w:eastAsia="仿宋_GB2312" w:cs="仿宋_GB2312"/>
                <w:b/>
                <w:bCs/>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93F67">
            <w:pPr>
              <w:keepNext w:val="0"/>
              <w:keepLines w:val="0"/>
              <w:pageBreakBefore w:val="0"/>
              <w:kinsoku/>
              <w:wordWrap/>
              <w:overflowPunct/>
              <w:topLinePunct w:val="0"/>
              <w:bidi w:val="0"/>
              <w:spacing w:line="560" w:lineRule="exact"/>
              <w:jc w:val="center"/>
              <w:rPr>
                <w:rFonts w:hint="eastAsia" w:ascii="Times New Roman" w:hAnsi="Times New Roman" w:eastAsia="仿宋_GB2312" w:cs="仿宋_GB2312"/>
                <w:b/>
                <w:bCs/>
                <w:color w:val="000000"/>
                <w:sz w:val="24"/>
                <w:szCs w:val="24"/>
              </w:rPr>
            </w:pPr>
          </w:p>
        </w:tc>
      </w:tr>
      <w:tr w14:paraId="6300980A">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F2B2">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644C">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sz w:val="24"/>
                <w:szCs w:val="24"/>
                <w:highlight w:val="yellow"/>
                <w:lang w:val="en-US" w:eastAsia="zh-CN"/>
              </w:rPr>
              <w:t>白云</w:t>
            </w:r>
            <w:r>
              <w:rPr>
                <w:rFonts w:hint="eastAsia" w:ascii="Times New Roman" w:hAnsi="Times New Roman" w:eastAsia="仿宋_GB2312" w:cs="仿宋_GB2312"/>
                <w:color w:val="000000"/>
                <w:sz w:val="24"/>
                <w:szCs w:val="24"/>
                <w:highlight w:val="yellow"/>
                <w:lang w:eastAsia="zh-CN"/>
              </w:rPr>
              <w:t>街综合养老服务中心（颐康中心）</w:t>
            </w:r>
          </w:p>
        </w:tc>
        <w:tc>
          <w:tcPr>
            <w:tcW w:w="3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1342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yellow"/>
                <w:lang w:val="en-US" w:eastAsia="zh-CN"/>
              </w:rPr>
            </w:pPr>
            <w:r>
              <w:rPr>
                <w:rFonts w:hint="eastAsia" w:ascii="Times New Roman" w:hAnsi="Times New Roman" w:eastAsia="仿宋_GB2312" w:cs="仿宋_GB2312"/>
                <w:color w:val="000000"/>
                <w:sz w:val="24"/>
                <w:szCs w:val="24"/>
                <w:highlight w:val="yellow"/>
                <w:lang w:val="en-US" w:eastAsia="zh-CN"/>
              </w:rPr>
              <w:t>东湖西路12号之二</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77DB">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yellow"/>
                <w:lang w:val="en-US" w:eastAsia="zh-CN"/>
              </w:rPr>
            </w:pPr>
            <w:r>
              <w:rPr>
                <w:rFonts w:hint="eastAsia" w:ascii="Times New Roman" w:hAnsi="Times New Roman" w:eastAsia="仿宋_GB2312" w:cs="仿宋_GB2312"/>
                <w:sz w:val="24"/>
                <w:szCs w:val="24"/>
                <w:highlight w:val="yellow"/>
                <w:lang w:val="en-US" w:eastAsia="zh-CN"/>
              </w:rPr>
              <w:t>1042</w:t>
            </w:r>
          </w:p>
        </w:tc>
      </w:tr>
      <w:tr w14:paraId="1C032872">
        <w:tblPrEx>
          <w:tblCellMar>
            <w:top w:w="0" w:type="dxa"/>
            <w:left w:w="108" w:type="dxa"/>
            <w:bottom w:w="0" w:type="dxa"/>
            <w:right w:w="108" w:type="dxa"/>
          </w:tblCellMar>
        </w:tblPrEx>
        <w:trPr>
          <w:trHeight w:val="55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0C1B">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BFDE">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海印社区长者饭堂</w:t>
            </w:r>
          </w:p>
        </w:tc>
        <w:tc>
          <w:tcPr>
            <w:tcW w:w="3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6F5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东湖西路26号</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A7B7">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111</w:t>
            </w:r>
          </w:p>
        </w:tc>
      </w:tr>
      <w:tr w14:paraId="367D46BB">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8D89">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ED7">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val="en-US" w:eastAsia="zh-CN"/>
              </w:rPr>
              <w:t>筑南社区</w:t>
            </w:r>
            <w:r>
              <w:rPr>
                <w:rFonts w:hint="eastAsia" w:ascii="Times New Roman" w:hAnsi="Times New Roman" w:eastAsia="仿宋_GB2312" w:cs="仿宋_GB2312"/>
                <w:color w:val="000000"/>
                <w:sz w:val="24"/>
                <w:szCs w:val="24"/>
                <w:lang w:eastAsia="zh-CN"/>
              </w:rPr>
              <w:t>长者饭堂</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9EE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广九五马路18号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D75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80</w:t>
            </w:r>
          </w:p>
        </w:tc>
      </w:tr>
      <w:tr w14:paraId="09C06DA6">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BDD5">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6A1">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大沙头社区长者饭堂</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855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大沙头路10号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935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40</w:t>
            </w:r>
          </w:p>
        </w:tc>
      </w:tr>
      <w:tr w14:paraId="3C4F60CB">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C56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1EA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广九</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09E">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白云路38号</w:t>
            </w:r>
            <w:r>
              <w:rPr>
                <w:rFonts w:hint="eastAsia" w:ascii="Times New Roman" w:hAnsi="Times New Roman" w:eastAsia="仿宋_GB2312" w:cs="仿宋_GB2312"/>
                <w:color w:val="000000"/>
                <w:sz w:val="24"/>
                <w:szCs w:val="24"/>
                <w:highlight w:val="none"/>
                <w:lang w:val="en-US" w:eastAsia="zh-CN"/>
              </w:rPr>
              <w:t>三</w:t>
            </w:r>
            <w:r>
              <w:rPr>
                <w:rFonts w:hint="eastAsia" w:ascii="Times New Roman" w:hAnsi="Times New Roman" w:eastAsia="仿宋_GB2312" w:cs="仿宋_GB2312"/>
                <w:color w:val="000000"/>
                <w:sz w:val="24"/>
                <w:szCs w:val="24"/>
                <w:highlight w:val="none"/>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70F9">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150</w:t>
            </w:r>
          </w:p>
        </w:tc>
      </w:tr>
      <w:tr w14:paraId="18B795C7">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06B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A9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筑南</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CC4">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rPr>
              <w:t>广九五马路18号</w:t>
            </w:r>
            <w:r>
              <w:rPr>
                <w:rFonts w:hint="eastAsia" w:ascii="Times New Roman" w:hAnsi="Times New Roman" w:eastAsia="仿宋_GB2312" w:cs="仿宋_GB2312"/>
                <w:color w:val="000000"/>
                <w:sz w:val="24"/>
                <w:szCs w:val="24"/>
                <w:highlight w:val="none"/>
                <w:lang w:val="en-US" w:eastAsia="zh-CN"/>
              </w:rPr>
              <w:t>一</w:t>
            </w:r>
            <w:r>
              <w:rPr>
                <w:rFonts w:hint="eastAsia" w:ascii="Times New Roman" w:hAnsi="Times New Roman" w:eastAsia="仿宋_GB2312" w:cs="仿宋_GB2312"/>
                <w:color w:val="000000"/>
                <w:sz w:val="24"/>
                <w:szCs w:val="24"/>
                <w:highlight w:val="none"/>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8CEC">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200</w:t>
            </w:r>
          </w:p>
        </w:tc>
      </w:tr>
      <w:tr w14:paraId="50971A6F">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6B4">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BE5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东湖新村</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E8B">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sz w:val="22"/>
                <w:szCs w:val="22"/>
                <w:highlight w:val="none"/>
                <w:lang w:val="en-US" w:eastAsia="zh-CN"/>
              </w:rPr>
            </w:pPr>
            <w:r>
              <w:rPr>
                <w:rFonts w:hint="eastAsia" w:ascii="Times New Roman" w:hAnsi="Times New Roman" w:eastAsia="仿宋_GB2312" w:cs="仿宋_GB2312"/>
                <w:color w:val="000000"/>
                <w:sz w:val="24"/>
                <w:szCs w:val="24"/>
                <w:highlight w:val="none"/>
              </w:rPr>
              <w:t>东湖西路26号</w:t>
            </w:r>
            <w:r>
              <w:rPr>
                <w:rFonts w:hint="eastAsia" w:ascii="Times New Roman" w:hAnsi="Times New Roman" w:eastAsia="仿宋_GB2312" w:cs="仿宋_GB2312"/>
                <w:color w:val="000000"/>
                <w:sz w:val="24"/>
                <w:szCs w:val="24"/>
                <w:highlight w:val="none"/>
                <w:lang w:val="en-US" w:eastAsia="zh-CN"/>
              </w:rPr>
              <w:t>一</w:t>
            </w:r>
            <w:r>
              <w:rPr>
                <w:rFonts w:hint="eastAsia" w:ascii="Times New Roman" w:hAnsi="Times New Roman" w:eastAsia="仿宋_GB2312" w:cs="仿宋_GB2312"/>
                <w:color w:val="000000"/>
                <w:sz w:val="24"/>
                <w:szCs w:val="24"/>
                <w:highlight w:val="none"/>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6E0">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110</w:t>
            </w:r>
          </w:p>
        </w:tc>
      </w:tr>
      <w:tr w14:paraId="41B6FA6A">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CB15">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1B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永胜上沙</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5B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lang w:eastAsia="zh-CN"/>
              </w:rPr>
            </w:pPr>
            <w:r>
              <w:rPr>
                <w:rFonts w:hint="eastAsia" w:ascii="Times New Roman" w:hAnsi="Times New Roman" w:eastAsia="仿宋_GB2312" w:cs="仿宋_GB2312"/>
                <w:b w:val="0"/>
                <w:bCs w:val="0"/>
                <w:color w:val="000000"/>
                <w:sz w:val="24"/>
                <w:szCs w:val="24"/>
                <w:highlight w:val="none"/>
              </w:rPr>
              <w:t>永胜上沙7号</w:t>
            </w:r>
            <w:r>
              <w:rPr>
                <w:rFonts w:hint="eastAsia" w:ascii="Times New Roman" w:hAnsi="Times New Roman" w:eastAsia="仿宋_GB2312" w:cs="仿宋_GB2312"/>
                <w:color w:val="000000"/>
                <w:sz w:val="24"/>
                <w:szCs w:val="24"/>
                <w:highlight w:val="none"/>
                <w:lang w:val="en-US" w:eastAsia="zh-CN"/>
              </w:rPr>
              <w:t>一</w:t>
            </w:r>
            <w:r>
              <w:rPr>
                <w:rFonts w:hint="eastAsia" w:ascii="Times New Roman" w:hAnsi="Times New Roman" w:eastAsia="仿宋_GB2312" w:cs="仿宋_GB2312"/>
                <w:b w:val="0"/>
                <w:bCs w:val="0"/>
                <w:color w:val="000000"/>
                <w:sz w:val="24"/>
                <w:szCs w:val="24"/>
                <w:highlight w:val="none"/>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019">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150</w:t>
            </w:r>
          </w:p>
        </w:tc>
      </w:tr>
      <w:tr w14:paraId="42153AA5">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2668">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9</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DDB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花园新村</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D199">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东湖西路64号02房</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B586">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240</w:t>
            </w:r>
          </w:p>
        </w:tc>
      </w:tr>
      <w:tr w14:paraId="1065F29A">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09D4">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10</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C8C8">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东船上</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2EB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东船上街8号</w:t>
            </w:r>
            <w:r>
              <w:rPr>
                <w:rFonts w:hint="eastAsia" w:ascii="Times New Roman" w:hAnsi="Times New Roman" w:eastAsia="仿宋_GB2312" w:cs="仿宋_GB2312"/>
                <w:color w:val="000000"/>
                <w:sz w:val="24"/>
                <w:szCs w:val="24"/>
                <w:highlight w:val="none"/>
                <w:lang w:val="en-US" w:eastAsia="zh-CN"/>
              </w:rPr>
              <w:t>二</w:t>
            </w:r>
            <w:r>
              <w:rPr>
                <w:rFonts w:hint="eastAsia" w:ascii="Times New Roman" w:hAnsi="Times New Roman" w:eastAsia="仿宋_GB2312" w:cs="仿宋_GB2312"/>
                <w:color w:val="000000"/>
                <w:sz w:val="24"/>
                <w:szCs w:val="24"/>
                <w:highlight w:val="none"/>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83E2">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150</w:t>
            </w:r>
          </w:p>
        </w:tc>
      </w:tr>
      <w:tr w14:paraId="0241AF2A">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E2B">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bidi="ar"/>
              </w:rPr>
              <w:t>1</w:t>
            </w:r>
            <w:r>
              <w:rPr>
                <w:rFonts w:hint="eastAsia" w:ascii="Times New Roman" w:hAnsi="Times New Roman" w:eastAsia="仿宋_GB2312" w:cs="仿宋_GB2312"/>
                <w:color w:val="000000"/>
                <w:sz w:val="24"/>
                <w:szCs w:val="24"/>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DE2B">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US" w:eastAsia="zh-CN"/>
              </w:rPr>
              <w:t>海印</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FB1">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sz w:val="22"/>
                <w:szCs w:val="22"/>
                <w:highlight w:val="none"/>
                <w:lang w:val="en-US" w:eastAsia="zh-CN"/>
              </w:rPr>
            </w:pPr>
            <w:r>
              <w:rPr>
                <w:rFonts w:hint="eastAsia" w:ascii="Times New Roman" w:hAnsi="Times New Roman" w:eastAsia="仿宋_GB2312" w:cs="仿宋_GB2312"/>
                <w:color w:val="000000"/>
                <w:sz w:val="24"/>
                <w:szCs w:val="24"/>
                <w:highlight w:val="none"/>
              </w:rPr>
              <w:t>东湖西路64号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2F40">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220</w:t>
            </w:r>
          </w:p>
        </w:tc>
      </w:tr>
      <w:tr w14:paraId="5DA8E7F9">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C9D1">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bidi="ar"/>
              </w:rPr>
              <w:t>1</w:t>
            </w:r>
            <w:r>
              <w:rPr>
                <w:rFonts w:hint="eastAsia" w:ascii="Times New Roman" w:hAnsi="Times New Roman" w:eastAsia="仿宋_GB2312" w:cs="仿宋_GB2312"/>
                <w:color w:val="000000"/>
                <w:sz w:val="24"/>
                <w:szCs w:val="24"/>
                <w:lang w:val="en-US" w:eastAsia="zh-CN" w:bidi="ar"/>
              </w:rPr>
              <w:t>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4142">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val="en-US" w:eastAsia="zh-CN"/>
              </w:rPr>
              <w:t>大沙头</w:t>
            </w:r>
            <w:r>
              <w:rPr>
                <w:rFonts w:hint="eastAsia" w:ascii="Times New Roman" w:hAnsi="Times New Roman" w:eastAsia="仿宋_GB2312" w:cs="仿宋_GB2312"/>
                <w:color w:val="000000"/>
                <w:sz w:val="24"/>
                <w:szCs w:val="24"/>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9AC3">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sz w:val="22"/>
                <w:szCs w:val="22"/>
                <w:highlight w:val="none"/>
                <w:lang w:val="en-US" w:eastAsia="zh-CN"/>
              </w:rPr>
            </w:pPr>
            <w:r>
              <w:rPr>
                <w:rFonts w:hint="eastAsia" w:ascii="Times New Roman" w:hAnsi="Times New Roman" w:eastAsia="仿宋_GB2312" w:cs="仿宋_GB2312"/>
                <w:color w:val="000000"/>
                <w:sz w:val="24"/>
                <w:szCs w:val="24"/>
                <w:highlight w:val="none"/>
                <w:lang w:val="en-US"/>
              </w:rPr>
              <w:t>大沙头路10号</w:t>
            </w:r>
            <w:r>
              <w:rPr>
                <w:rFonts w:hint="eastAsia" w:ascii="Times New Roman" w:hAnsi="Times New Roman" w:eastAsia="仿宋_GB2312" w:cs="仿宋_GB2312"/>
                <w:color w:val="000000"/>
                <w:sz w:val="24"/>
                <w:szCs w:val="24"/>
                <w:highlight w:val="none"/>
                <w:lang w:val="en-US" w:eastAsia="zh-CN"/>
              </w:rPr>
              <w:t>一</w:t>
            </w:r>
            <w:r>
              <w:rPr>
                <w:rFonts w:hint="eastAsia" w:ascii="Times New Roman" w:hAnsi="Times New Roman" w:eastAsia="仿宋_GB2312" w:cs="仿宋_GB2312"/>
                <w:color w:val="000000"/>
                <w:sz w:val="24"/>
                <w:szCs w:val="24"/>
                <w:highlight w:val="none"/>
                <w:lang w:val="en-US"/>
              </w:rPr>
              <w:t>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EB6">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default" w:ascii="Times New Roman" w:hAnsi="Times New Roman" w:eastAsia="仿宋_GB2312" w:cs="仿宋_GB2312"/>
                <w:color w:val="000000"/>
                <w:sz w:val="24"/>
                <w:szCs w:val="24"/>
                <w:highlight w:val="none"/>
                <w:lang w:val="en-US" w:eastAsia="zh-CN" w:bidi="ar"/>
              </w:rPr>
            </w:pPr>
            <w:r>
              <w:rPr>
                <w:rFonts w:hint="eastAsia" w:ascii="Times New Roman" w:hAnsi="Times New Roman" w:eastAsia="仿宋_GB2312" w:cs="仿宋_GB2312"/>
                <w:color w:val="000000"/>
                <w:sz w:val="24"/>
                <w:szCs w:val="24"/>
                <w:highlight w:val="none"/>
                <w:lang w:val="en-US" w:eastAsia="zh-CN" w:bidi="ar"/>
              </w:rPr>
              <w:t>150</w:t>
            </w:r>
          </w:p>
        </w:tc>
      </w:tr>
      <w:tr w14:paraId="0975D04D">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BFC">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bidi="ar"/>
              </w:rPr>
              <w:t>1</w:t>
            </w:r>
            <w:r>
              <w:rPr>
                <w:rFonts w:hint="eastAsia" w:ascii="Times New Roman" w:hAnsi="Times New Roman" w:eastAsia="仿宋_GB2312" w:cs="仿宋_GB2312"/>
                <w:color w:val="000000"/>
                <w:sz w:val="24"/>
                <w:szCs w:val="24"/>
                <w:lang w:val="en-US" w:eastAsia="zh-CN" w:bidi="ar"/>
              </w:rPr>
              <w:t>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94ED">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val="en-US" w:eastAsia="zh-CN"/>
              </w:rPr>
              <w:t>二沙岛</w:t>
            </w:r>
            <w:r>
              <w:rPr>
                <w:rFonts w:hint="eastAsia" w:ascii="Times New Roman" w:hAnsi="Times New Roman" w:eastAsia="仿宋_GB2312" w:cs="仿宋_GB2312"/>
                <w:color w:val="000000"/>
                <w:sz w:val="24"/>
                <w:szCs w:val="24"/>
                <w:lang w:eastAsia="zh-CN"/>
              </w:rPr>
              <w:t>社区颐康服务站</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91F">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春晓街2号地下</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A85">
            <w:pPr>
              <w:keepNext w:val="0"/>
              <w:keepLines w:val="0"/>
              <w:pageBreakBefore w:val="0"/>
              <w:widowControl/>
              <w:kinsoku/>
              <w:wordWrap/>
              <w:overflowPunct/>
              <w:topLinePunct w:val="0"/>
              <w:autoSpaceDE w:val="0"/>
              <w:autoSpaceDN w:val="0"/>
              <w:bidi w:val="0"/>
              <w:adjustRightInd/>
              <w:snapToGrid/>
              <w:spacing w:line="240" w:lineRule="atLeast"/>
              <w:jc w:val="center"/>
              <w:textAlignment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150</w:t>
            </w:r>
          </w:p>
        </w:tc>
      </w:tr>
    </w:tbl>
    <w:p w14:paraId="015DB364">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b/>
          <w:bCs/>
          <w:color w:val="auto"/>
          <w:sz w:val="32"/>
          <w:szCs w:val="32"/>
          <w:lang w:val="en-US" w:eastAsia="zh-CN"/>
        </w:rPr>
        <w:t>二</w:t>
      </w:r>
      <w:r>
        <w:rPr>
          <w:rFonts w:hint="eastAsia" w:ascii="Times New Roman" w:hAnsi="Times New Roman" w:eastAsia="仿宋_GB2312" w:cs="仿宋_GB2312"/>
          <w:b/>
          <w:bCs/>
          <w:color w:val="auto"/>
          <w:sz w:val="32"/>
          <w:szCs w:val="32"/>
        </w:rPr>
        <w:t>）服务对象：</w:t>
      </w:r>
      <w:r>
        <w:rPr>
          <w:rFonts w:hint="eastAsia" w:ascii="Times New Roman" w:hAnsi="Times New Roman" w:eastAsia="仿宋_GB2312" w:cs="仿宋_GB2312"/>
          <w:color w:val="auto"/>
          <w:sz w:val="32"/>
          <w:szCs w:val="32"/>
          <w:highlight w:val="none"/>
        </w:rPr>
        <w:t>面向</w:t>
      </w:r>
      <w:r>
        <w:rPr>
          <w:rFonts w:hint="eastAsia" w:ascii="Times New Roman" w:hAnsi="Times New Roman" w:eastAsia="仿宋_GB2312" w:cs="仿宋_GB2312"/>
          <w:color w:val="auto"/>
          <w:sz w:val="32"/>
          <w:szCs w:val="32"/>
          <w:highlight w:val="none"/>
          <w:lang w:val="en-US" w:eastAsia="zh-CN"/>
        </w:rPr>
        <w:t>白云</w:t>
      </w:r>
      <w:r>
        <w:rPr>
          <w:rFonts w:hint="eastAsia" w:ascii="Times New Roman" w:hAnsi="Times New Roman" w:eastAsia="仿宋_GB2312" w:cs="仿宋_GB2312"/>
          <w:color w:val="auto"/>
          <w:sz w:val="32"/>
          <w:szCs w:val="32"/>
          <w:highlight w:val="none"/>
        </w:rPr>
        <w:t>街常住老年人提供居家社区养老服务，重点为有需求的失能、失智老年人提供服务，优先保障特殊困难老年人群服务需求。其中，符合《广州市居家社区养老服务管理办法》规定的资助对象的服务率须达到100%。</w:t>
      </w:r>
    </w:p>
    <w:p w14:paraId="448D0C4B">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b/>
          <w:bCs/>
          <w:color w:val="auto"/>
          <w:sz w:val="32"/>
          <w:szCs w:val="32"/>
          <w:lang w:val="en-US" w:eastAsia="zh-CN"/>
        </w:rPr>
        <w:t>三</w:t>
      </w:r>
      <w:r>
        <w:rPr>
          <w:rFonts w:hint="eastAsia" w:ascii="Times New Roman" w:hAnsi="Times New Roman" w:eastAsia="仿宋_GB2312" w:cs="仿宋_GB2312"/>
          <w:b/>
          <w:bCs/>
          <w:color w:val="auto"/>
          <w:sz w:val="32"/>
          <w:szCs w:val="32"/>
        </w:rPr>
        <w:t>）服务</w:t>
      </w:r>
      <w:r>
        <w:rPr>
          <w:rFonts w:hint="eastAsia" w:ascii="Times New Roman" w:hAnsi="Times New Roman" w:eastAsia="仿宋_GB2312" w:cs="仿宋_GB2312"/>
          <w:b/>
          <w:bCs/>
          <w:color w:val="auto"/>
          <w:sz w:val="32"/>
          <w:szCs w:val="32"/>
          <w:lang w:val="en-US" w:eastAsia="zh-CN"/>
        </w:rPr>
        <w:t>内容</w:t>
      </w:r>
    </w:p>
    <w:p w14:paraId="0E4980E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1.负责运营的街道</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镇</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级综合养老服务中心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颐康中心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应当具备全托、日托、上门服务、对下指导、统筹调配资源等功能，并提供包括但不仅限于养老服务向导、助餐配餐、生活照料、定期巡访、辅具租赁、家庭照护培训、文体教育、居家适老化改造、家庭养老床位、日间托管、临时托养、医养康养、康复护理等服务项目。</w:t>
      </w:r>
    </w:p>
    <w:p w14:paraId="107F083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2.负责运营的社区颐康服务站应当提供养老服务向导、日间照料、上门服务、助餐配餐、文体康乐等服务项目。</w:t>
      </w:r>
    </w:p>
    <w:p w14:paraId="1FFCF9E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3.在街道支持和协助下，统筹管理辖内所有社区养老服务设施和长者饭堂，形成“1+N”服务网络，增加嵌入式、综合性、多功能、普惠性养老服务供给，为有需要的老年人提供一站式和到户式综合养老服务。</w:t>
      </w:r>
      <w:r>
        <w:rPr>
          <w:rFonts w:hint="eastAsia" w:ascii="Times New Roman" w:hAnsi="Times New Roman" w:eastAsia="仿宋_GB2312" w:cs="仿宋_GB2312"/>
          <w:sz w:val="32"/>
          <w:szCs w:val="32"/>
          <w:highlight w:val="none"/>
          <w:lang w:val="en-US" w:eastAsia="zh-CN"/>
        </w:rPr>
        <w:t>统筹整合为老资源，对上述服务设施提供业务指导、资源协调、人员培训等服务。</w:t>
      </w:r>
    </w:p>
    <w:p w14:paraId="42B77E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w:t>
      </w:r>
      <w:r>
        <w:rPr>
          <w:rFonts w:hint="eastAsia" w:ascii="Times New Roman" w:hAnsi="Times New Roman" w:eastAsia="仿宋_GB2312" w:cs="仿宋_GB2312"/>
          <w:sz w:val="32"/>
          <w:szCs w:val="32"/>
          <w:highlight w:val="none"/>
          <w:lang w:val="en-US" w:eastAsia="zh-CN"/>
        </w:rPr>
        <w:t>运营的所有服务设施应当设置养老服务向导点，提供养老政策咨询、服务查询、办事指引、服务转介等服务。</w:t>
      </w:r>
      <w:r>
        <w:rPr>
          <w:rFonts w:hint="eastAsia" w:ascii="Times New Roman" w:hAnsi="Times New Roman" w:eastAsia="仿宋_GB2312" w:cs="仿宋_GB2312"/>
          <w:sz w:val="32"/>
          <w:szCs w:val="32"/>
          <w:highlight w:val="none"/>
        </w:rPr>
        <w:t>应当与“平安通”服务机构建立服务转介机制。</w:t>
      </w:r>
    </w:p>
    <w:p w14:paraId="037128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提供的服务项目和标准根据本市基本养老服务清单和政策法规</w:t>
      </w:r>
      <w:r>
        <w:rPr>
          <w:rFonts w:hint="eastAsia" w:ascii="Times New Roman" w:hAnsi="Times New Roman" w:eastAsia="仿宋_GB2312" w:cs="仿宋_GB2312"/>
          <w:sz w:val="32"/>
          <w:szCs w:val="32"/>
          <w:highlight w:val="none"/>
          <w:lang w:eastAsia="zh-CN"/>
        </w:rPr>
        <w:t>、任务指标</w:t>
      </w:r>
      <w:r>
        <w:rPr>
          <w:rFonts w:hint="eastAsia" w:ascii="Times New Roman" w:hAnsi="Times New Roman" w:eastAsia="仿宋_GB2312" w:cs="仿宋_GB2312"/>
          <w:sz w:val="32"/>
          <w:szCs w:val="32"/>
          <w:highlight w:val="none"/>
        </w:rPr>
        <w:t>要求进行动态调整。</w:t>
      </w:r>
    </w:p>
    <w:p w14:paraId="2243E1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协助</w:t>
      </w:r>
      <w:r>
        <w:rPr>
          <w:rFonts w:hint="eastAsia" w:ascii="Times New Roman" w:hAnsi="Times New Roman" w:eastAsia="仿宋_GB2312" w:cs="仿宋_GB2312"/>
          <w:sz w:val="32"/>
          <w:szCs w:val="32"/>
          <w:highlight w:val="none"/>
          <w:lang w:val="en-US" w:eastAsia="zh-CN"/>
        </w:rPr>
        <w:t>白云</w:t>
      </w:r>
      <w:r>
        <w:rPr>
          <w:rFonts w:hint="eastAsia" w:ascii="Times New Roman" w:hAnsi="Times New Roman" w:eastAsia="仿宋_GB2312" w:cs="仿宋_GB2312"/>
          <w:sz w:val="32"/>
          <w:szCs w:val="32"/>
          <w:highlight w:val="none"/>
        </w:rPr>
        <w:t>街完成上级部门下达的各项关于养老服务工作的任务。</w:t>
      </w:r>
    </w:p>
    <w:p w14:paraId="3078095B">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b/>
          <w:bCs/>
          <w:color w:val="auto"/>
          <w:sz w:val="32"/>
          <w:szCs w:val="32"/>
          <w:lang w:val="en-US" w:eastAsia="zh-CN"/>
        </w:rPr>
        <w:t>四</w:t>
      </w:r>
      <w:r>
        <w:rPr>
          <w:rFonts w:hint="eastAsia" w:ascii="Times New Roman" w:hAnsi="Times New Roman" w:eastAsia="仿宋_GB2312" w:cs="仿宋_GB2312"/>
          <w:b/>
          <w:bCs/>
          <w:color w:val="auto"/>
          <w:sz w:val="32"/>
          <w:szCs w:val="32"/>
        </w:rPr>
        <w:t xml:space="preserve">）服务指标 </w:t>
      </w:r>
    </w:p>
    <w:p w14:paraId="747C6BB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1.以服务设施为单位，每年在服务区域内开展服务对象需求调查至少2次，服务对象覆盖率不低于80%。开展线下服务宣传活动至少12场，开展服务对象满意度调查至少</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次。</w:t>
      </w:r>
    </w:p>
    <w:p w14:paraId="6C7C020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rPr>
      </w:pPr>
      <w:r>
        <w:rPr>
          <w:rFonts w:hint="eastAsia" w:ascii="Times New Roman" w:hAnsi="Times New Roman" w:eastAsia="仿宋_GB2312" w:cs="仿宋_GB2312"/>
          <w:b/>
          <w:kern w:val="24"/>
          <w:sz w:val="32"/>
          <w:szCs w:val="32"/>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.提供以下服务项目并完成相应指标（</w:t>
      </w:r>
      <w:r>
        <w:rPr>
          <w:rFonts w:hint="eastAsia" w:ascii="Times New Roman" w:hAnsi="Times New Roman" w:eastAsia="仿宋_GB2312" w:cs="仿宋_GB2312"/>
          <w:sz w:val="32"/>
          <w:szCs w:val="32"/>
          <w:highlight w:val="none"/>
          <w:lang w:eastAsia="zh-CN"/>
        </w:rPr>
        <w:t>下表为</w:t>
      </w:r>
      <w:r>
        <w:rPr>
          <w:rFonts w:hint="eastAsia" w:ascii="Times New Roman" w:hAnsi="Times New Roman" w:eastAsia="仿宋_GB2312" w:cs="仿宋_GB2312"/>
          <w:sz w:val="32"/>
          <w:szCs w:val="32"/>
          <w:highlight w:val="none"/>
          <w:lang w:val="en-US" w:eastAsia="zh-CN"/>
        </w:rPr>
        <w:t>1年</w:t>
      </w:r>
      <w:r>
        <w:rPr>
          <w:rFonts w:hint="eastAsia" w:ascii="Times New Roman" w:hAnsi="Times New Roman" w:eastAsia="仿宋_GB2312" w:cs="仿宋_GB2312"/>
          <w:sz w:val="32"/>
          <w:szCs w:val="32"/>
          <w:highlight w:val="none"/>
          <w:lang w:eastAsia="zh-CN"/>
        </w:rPr>
        <w:t>全年标准，按服务时间比例折算须完成指标</w:t>
      </w:r>
      <w:r>
        <w:rPr>
          <w:rFonts w:hint="eastAsia" w:ascii="Times New Roman" w:hAnsi="Times New Roman" w:eastAsia="仿宋_GB2312" w:cs="仿宋_GB2312"/>
          <w:sz w:val="32"/>
          <w:szCs w:val="32"/>
          <w:highlight w:val="none"/>
        </w:rPr>
        <w:t>），并结合</w:t>
      </w:r>
      <w:r>
        <w:rPr>
          <w:rFonts w:hint="eastAsia" w:ascii="Times New Roman" w:hAnsi="Times New Roman" w:eastAsia="仿宋_GB2312" w:cs="仿宋_GB2312"/>
          <w:sz w:val="32"/>
          <w:szCs w:val="32"/>
          <w:highlight w:val="none"/>
          <w:lang w:val="en-US" w:eastAsia="zh-CN"/>
        </w:rPr>
        <w:t>白云</w:t>
      </w:r>
      <w:r>
        <w:rPr>
          <w:rFonts w:hint="eastAsia" w:ascii="Times New Roman" w:hAnsi="Times New Roman" w:eastAsia="仿宋_GB2312" w:cs="仿宋_GB2312"/>
          <w:sz w:val="32"/>
          <w:szCs w:val="32"/>
          <w:highlight w:val="none"/>
          <w:lang w:eastAsia="zh-CN"/>
        </w:rPr>
        <w:t>街</w:t>
      </w:r>
      <w:r>
        <w:rPr>
          <w:rFonts w:hint="eastAsia" w:ascii="Times New Roman" w:hAnsi="Times New Roman" w:eastAsia="仿宋_GB2312" w:cs="仿宋_GB2312"/>
          <w:sz w:val="32"/>
          <w:szCs w:val="32"/>
          <w:highlight w:val="none"/>
        </w:rPr>
        <w:t>居家养老综合服务平台场地服务需求对场地进行总体的</w:t>
      </w:r>
      <w:r>
        <w:rPr>
          <w:rFonts w:hint="eastAsia" w:ascii="Times New Roman" w:hAnsi="Times New Roman" w:eastAsia="仿宋_GB2312" w:cs="仿宋_GB2312"/>
          <w:sz w:val="32"/>
          <w:szCs w:val="32"/>
          <w:highlight w:val="none"/>
          <w:lang w:eastAsia="zh-CN"/>
        </w:rPr>
        <w:t>规</w:t>
      </w:r>
      <w:r>
        <w:rPr>
          <w:rFonts w:hint="eastAsia" w:ascii="Times New Roman" w:hAnsi="Times New Roman" w:eastAsia="仿宋_GB2312" w:cs="仿宋_GB2312"/>
          <w:sz w:val="32"/>
          <w:szCs w:val="32"/>
          <w:highlight w:val="none"/>
        </w:rPr>
        <w:t>划、软装的布置、设备设施的配置</w:t>
      </w:r>
      <w:r>
        <w:rPr>
          <w:rFonts w:hint="eastAsia" w:ascii="Times New Roman" w:hAnsi="Times New Roman" w:eastAsia="仿宋_GB2312" w:cs="仿宋_GB2312"/>
          <w:sz w:val="32"/>
          <w:szCs w:val="32"/>
          <w:highlight w:val="none"/>
          <w:lang w:eastAsia="zh-CN"/>
        </w:rPr>
        <w:t>。</w:t>
      </w:r>
    </w:p>
    <w:p w14:paraId="64ADBC23">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ascii="Times New Roman" w:hAnsi="Times New Roman"/>
        </w:rPr>
      </w:pPr>
      <w:r>
        <w:rPr>
          <w:rFonts w:hint="eastAsia" w:ascii="Times New Roman" w:hAnsi="Times New Roman" w:eastAsia="仿宋_GB2312" w:cs="仿宋_GB2312"/>
          <w:b/>
          <w:sz w:val="32"/>
          <w:szCs w:val="32"/>
        </w:rPr>
        <w:t>表</w:t>
      </w:r>
      <w:r>
        <w:rPr>
          <w:rFonts w:hint="eastAsia" w:ascii="Times New Roman" w:hAnsi="Times New Roman" w:eastAsia="仿宋_GB2312" w:cs="仿宋_GB2312"/>
          <w:b/>
          <w:sz w:val="32"/>
          <w:szCs w:val="32"/>
          <w:lang w:val="en-US" w:eastAsia="zh-CN"/>
        </w:rPr>
        <w:t xml:space="preserve">2  </w:t>
      </w:r>
      <w:r>
        <w:rPr>
          <w:rFonts w:hint="eastAsia" w:ascii="Times New Roman" w:hAnsi="Times New Roman" w:eastAsia="仿宋_GB2312" w:cs="仿宋_GB2312"/>
          <w:b/>
          <w:sz w:val="32"/>
          <w:szCs w:val="32"/>
        </w:rPr>
        <w:t>服务指标</w:t>
      </w:r>
    </w:p>
    <w:p w14:paraId="19B9E4F3">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Times New Roman" w:hAnsi="Times New Roman" w:eastAsia="仿宋_GB2312" w:cs="仿宋_GB2312"/>
          <w:sz w:val="32"/>
          <w:szCs w:val="32"/>
          <w:highlight w:val="none"/>
        </w:rPr>
      </w:pPr>
      <w:bookmarkStart w:id="2" w:name="page8"/>
      <w:bookmarkEnd w:id="2"/>
      <w:bookmarkStart w:id="3" w:name="page7"/>
      <w:bookmarkEnd w:id="3"/>
      <w:bookmarkStart w:id="4" w:name="page4"/>
      <w:bookmarkEnd w:id="4"/>
      <w:r>
        <w:rPr>
          <w:rFonts w:hint="eastAsia" w:ascii="Times New Roman" w:hAnsi="Times New Roman" w:eastAsia="仿宋_GB2312" w:cs="仿宋_GB2312"/>
          <w:b/>
          <w:sz w:val="32"/>
          <w:szCs w:val="32"/>
        </w:rPr>
        <w:t>街综合养老服务中心（颐康中心）指标表</w:t>
      </w:r>
    </w:p>
    <w:tbl>
      <w:tblPr>
        <w:tblStyle w:val="4"/>
        <w:tblW w:w="80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54"/>
        <w:gridCol w:w="1661"/>
        <w:gridCol w:w="3702"/>
        <w:gridCol w:w="1804"/>
      </w:tblGrid>
      <w:tr w14:paraId="1E853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854" w:type="dxa"/>
            <w:noWrap w:val="0"/>
            <w:vAlign w:val="top"/>
          </w:tcPr>
          <w:p w14:paraId="12348EF3">
            <w:pPr>
              <w:keepNext w:val="0"/>
              <w:keepLines w:val="0"/>
              <w:pageBreakBefore w:val="0"/>
              <w:kinsoku/>
              <w:wordWrap/>
              <w:overflowPunct/>
              <w:topLinePunct w:val="0"/>
              <w:autoSpaceDE w:val="0"/>
              <w:autoSpaceDN w:val="0"/>
              <w:bidi w:val="0"/>
              <w:spacing w:line="560" w:lineRule="exact"/>
              <w:jc w:val="center"/>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序号</w:t>
            </w:r>
          </w:p>
        </w:tc>
        <w:tc>
          <w:tcPr>
            <w:tcW w:w="1661" w:type="dxa"/>
            <w:noWrap w:val="0"/>
            <w:vAlign w:val="top"/>
          </w:tcPr>
          <w:p w14:paraId="7FF43190">
            <w:pPr>
              <w:keepNext w:val="0"/>
              <w:keepLines w:val="0"/>
              <w:pageBreakBefore w:val="0"/>
              <w:kinsoku/>
              <w:wordWrap/>
              <w:overflowPunct/>
              <w:topLinePunct w:val="0"/>
              <w:autoSpaceDE w:val="0"/>
              <w:autoSpaceDN w:val="0"/>
              <w:bidi w:val="0"/>
              <w:spacing w:line="560" w:lineRule="exact"/>
              <w:jc w:val="center"/>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服务项目</w:t>
            </w:r>
          </w:p>
        </w:tc>
        <w:tc>
          <w:tcPr>
            <w:tcW w:w="3702" w:type="dxa"/>
            <w:noWrap w:val="0"/>
            <w:vAlign w:val="top"/>
          </w:tcPr>
          <w:p w14:paraId="489DB774">
            <w:pPr>
              <w:keepNext w:val="0"/>
              <w:keepLines w:val="0"/>
              <w:pageBreakBefore w:val="0"/>
              <w:kinsoku/>
              <w:wordWrap/>
              <w:overflowPunct/>
              <w:topLinePunct w:val="0"/>
              <w:autoSpaceDE w:val="0"/>
              <w:autoSpaceDN w:val="0"/>
              <w:bidi w:val="0"/>
              <w:spacing w:line="560" w:lineRule="exact"/>
              <w:jc w:val="center"/>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内容要求</w:t>
            </w:r>
          </w:p>
        </w:tc>
        <w:tc>
          <w:tcPr>
            <w:tcW w:w="1804" w:type="dxa"/>
            <w:noWrap w:val="0"/>
            <w:vAlign w:val="top"/>
          </w:tcPr>
          <w:p w14:paraId="7F652E9B">
            <w:pPr>
              <w:keepNext w:val="0"/>
              <w:keepLines w:val="0"/>
              <w:pageBreakBefore w:val="0"/>
              <w:kinsoku/>
              <w:wordWrap/>
              <w:overflowPunct/>
              <w:topLinePunct w:val="0"/>
              <w:autoSpaceDE w:val="0"/>
              <w:autoSpaceDN w:val="0"/>
              <w:bidi w:val="0"/>
              <w:spacing w:line="560" w:lineRule="exact"/>
              <w:jc w:val="center"/>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服务指标</w:t>
            </w:r>
          </w:p>
        </w:tc>
      </w:tr>
      <w:tr w14:paraId="4B72C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14:paraId="5A5CF918">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w:t>
            </w:r>
          </w:p>
        </w:tc>
        <w:tc>
          <w:tcPr>
            <w:tcW w:w="1661" w:type="dxa"/>
            <w:noWrap w:val="0"/>
            <w:vAlign w:val="top"/>
          </w:tcPr>
          <w:p w14:paraId="4D295C57">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养老服务向导</w:t>
            </w:r>
          </w:p>
        </w:tc>
        <w:tc>
          <w:tcPr>
            <w:tcW w:w="3702" w:type="dxa"/>
            <w:noWrap w:val="0"/>
            <w:vAlign w:val="top"/>
          </w:tcPr>
          <w:p w14:paraId="71796B5C">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为老年人提供养老政策咨询、服务查询、办事指引、服务转介等服务。</w:t>
            </w:r>
          </w:p>
        </w:tc>
        <w:tc>
          <w:tcPr>
            <w:tcW w:w="1804" w:type="dxa"/>
            <w:noWrap w:val="0"/>
            <w:vAlign w:val="top"/>
          </w:tcPr>
          <w:p w14:paraId="7513784B">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服务人次≥100</w:t>
            </w:r>
          </w:p>
        </w:tc>
      </w:tr>
      <w:tr w14:paraId="29B6A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854" w:type="dxa"/>
            <w:noWrap w:val="0"/>
            <w:vAlign w:val="top"/>
          </w:tcPr>
          <w:p w14:paraId="14C08142">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w:t>
            </w:r>
          </w:p>
        </w:tc>
        <w:tc>
          <w:tcPr>
            <w:tcW w:w="1661" w:type="dxa"/>
            <w:noWrap w:val="0"/>
            <w:vAlign w:val="top"/>
          </w:tcPr>
          <w:p w14:paraId="188D4B81">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助餐配餐</w:t>
            </w:r>
          </w:p>
        </w:tc>
        <w:tc>
          <w:tcPr>
            <w:tcW w:w="3702" w:type="dxa"/>
            <w:noWrap w:val="0"/>
            <w:vAlign w:val="top"/>
          </w:tcPr>
          <w:p w14:paraId="7F1F6434">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以长者饭堂为主要依托，为老年人提供制餐、配餐、分餐、就餐、送餐等服务。</w:t>
            </w:r>
          </w:p>
        </w:tc>
        <w:tc>
          <w:tcPr>
            <w:tcW w:w="1804" w:type="dxa"/>
            <w:noWrap w:val="0"/>
            <w:vAlign w:val="top"/>
          </w:tcPr>
          <w:p w14:paraId="5679CF3E">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服务人次≥6000</w:t>
            </w:r>
          </w:p>
        </w:tc>
      </w:tr>
      <w:tr w14:paraId="289D6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854" w:type="dxa"/>
            <w:noWrap w:val="0"/>
            <w:vAlign w:val="top"/>
          </w:tcPr>
          <w:p w14:paraId="193218B1">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3</w:t>
            </w:r>
          </w:p>
        </w:tc>
        <w:tc>
          <w:tcPr>
            <w:tcW w:w="1661" w:type="dxa"/>
            <w:noWrap w:val="0"/>
            <w:vAlign w:val="top"/>
          </w:tcPr>
          <w:p w14:paraId="5438B6D0">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生活照料</w:t>
            </w:r>
          </w:p>
        </w:tc>
        <w:tc>
          <w:tcPr>
            <w:tcW w:w="3702" w:type="dxa"/>
            <w:noWrap w:val="0"/>
            <w:vAlign w:val="top"/>
          </w:tcPr>
          <w:p w14:paraId="3D19C6B0">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为居家老年人提供上门助洁、助浴、</w:t>
            </w:r>
          </w:p>
          <w:p w14:paraId="4988A115">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洗涤、生活护理、协助进餐、陪伴就医、代办服务等全方位生活照料服务。</w:t>
            </w:r>
          </w:p>
        </w:tc>
        <w:tc>
          <w:tcPr>
            <w:tcW w:w="1804" w:type="dxa"/>
            <w:noWrap w:val="0"/>
            <w:vAlign w:val="top"/>
          </w:tcPr>
          <w:p w14:paraId="3AA8D45C">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服务人次≥900</w:t>
            </w:r>
          </w:p>
        </w:tc>
      </w:tr>
      <w:tr w14:paraId="19DBE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14:paraId="4486F19F">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4</w:t>
            </w:r>
          </w:p>
        </w:tc>
        <w:tc>
          <w:tcPr>
            <w:tcW w:w="1661" w:type="dxa"/>
            <w:noWrap w:val="0"/>
            <w:vAlign w:val="top"/>
          </w:tcPr>
          <w:p w14:paraId="6E48FD96">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辅具租赁</w:t>
            </w:r>
          </w:p>
        </w:tc>
        <w:tc>
          <w:tcPr>
            <w:tcW w:w="3702" w:type="dxa"/>
            <w:noWrap w:val="0"/>
            <w:vAlign w:val="top"/>
          </w:tcPr>
          <w:p w14:paraId="53D1C8A7">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向失能或者部分失能老年人提供辅具适配或租赁服务。</w:t>
            </w:r>
          </w:p>
        </w:tc>
        <w:tc>
          <w:tcPr>
            <w:tcW w:w="1804" w:type="dxa"/>
            <w:noWrap w:val="0"/>
            <w:vAlign w:val="top"/>
          </w:tcPr>
          <w:p w14:paraId="340E2988">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color w:val="auto"/>
                <w:sz w:val="24"/>
                <w:szCs w:val="24"/>
                <w:highlight w:val="none"/>
                <w:lang w:eastAsia="zh-CN"/>
              </w:rPr>
            </w:pPr>
            <w:r>
              <w:rPr>
                <w:rFonts w:hint="eastAsia" w:ascii="Times New Roman" w:hAnsi="Times New Roman" w:eastAsia="仿宋_GB2312" w:cs="仿宋_GB2312"/>
                <w:color w:val="auto"/>
                <w:sz w:val="24"/>
                <w:szCs w:val="24"/>
                <w:highlight w:val="none"/>
              </w:rPr>
              <w:t>服务人次≥</w:t>
            </w:r>
            <w:r>
              <w:rPr>
                <w:rFonts w:hint="eastAsia" w:ascii="Times New Roman" w:hAnsi="Times New Roman" w:eastAsia="仿宋_GB2312" w:cs="仿宋_GB2312"/>
                <w:color w:val="auto"/>
                <w:sz w:val="24"/>
                <w:szCs w:val="24"/>
                <w:highlight w:val="none"/>
                <w:lang w:val="en-US" w:eastAsia="zh-CN"/>
              </w:rPr>
              <w:t>5</w:t>
            </w:r>
          </w:p>
        </w:tc>
      </w:tr>
      <w:tr w14:paraId="33780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4" w:type="dxa"/>
            <w:noWrap w:val="0"/>
            <w:vAlign w:val="top"/>
          </w:tcPr>
          <w:p w14:paraId="21D0AE80">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5</w:t>
            </w:r>
          </w:p>
        </w:tc>
        <w:tc>
          <w:tcPr>
            <w:tcW w:w="1661" w:type="dxa"/>
            <w:noWrap w:val="0"/>
            <w:vAlign w:val="top"/>
          </w:tcPr>
          <w:p w14:paraId="3BD5965A">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家庭照护培训</w:t>
            </w:r>
          </w:p>
        </w:tc>
        <w:tc>
          <w:tcPr>
            <w:tcW w:w="3702" w:type="dxa"/>
            <w:noWrap w:val="0"/>
            <w:vAlign w:val="top"/>
          </w:tcPr>
          <w:p w14:paraId="4DCE3C2C">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为老年人及其家庭照护者提供家庭照护技能培训。</w:t>
            </w:r>
          </w:p>
        </w:tc>
        <w:tc>
          <w:tcPr>
            <w:tcW w:w="1804" w:type="dxa"/>
            <w:noWrap w:val="0"/>
            <w:vAlign w:val="top"/>
          </w:tcPr>
          <w:p w14:paraId="0159A47E">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rPr>
              <w:t>服务人次≥</w:t>
            </w:r>
            <w:r>
              <w:rPr>
                <w:rFonts w:hint="eastAsia" w:ascii="Times New Roman" w:hAnsi="Times New Roman" w:eastAsia="仿宋_GB2312" w:cs="仿宋_GB2312"/>
                <w:color w:val="auto"/>
                <w:sz w:val="24"/>
                <w:szCs w:val="24"/>
                <w:highlight w:val="none"/>
                <w:lang w:val="en-US" w:eastAsia="zh-CN"/>
              </w:rPr>
              <w:t>15</w:t>
            </w:r>
          </w:p>
        </w:tc>
      </w:tr>
      <w:tr w14:paraId="24C52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14:paraId="3FDD1E77">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6</w:t>
            </w:r>
          </w:p>
        </w:tc>
        <w:tc>
          <w:tcPr>
            <w:tcW w:w="1661" w:type="dxa"/>
            <w:noWrap w:val="0"/>
            <w:vAlign w:val="top"/>
          </w:tcPr>
          <w:p w14:paraId="794C44AF">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文体教育</w:t>
            </w:r>
          </w:p>
        </w:tc>
        <w:tc>
          <w:tcPr>
            <w:tcW w:w="3702" w:type="dxa"/>
            <w:noWrap w:val="0"/>
            <w:vAlign w:val="top"/>
          </w:tcPr>
          <w:p w14:paraId="67157008">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为老年人提供文体娱乐、精神慰藉、</w:t>
            </w:r>
          </w:p>
          <w:p w14:paraId="11C331ED">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互帮互助和老年教育等活动。</w:t>
            </w:r>
          </w:p>
        </w:tc>
        <w:tc>
          <w:tcPr>
            <w:tcW w:w="1804" w:type="dxa"/>
            <w:noWrap w:val="0"/>
            <w:vAlign w:val="top"/>
          </w:tcPr>
          <w:p w14:paraId="101A4C75">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服务人次≥</w:t>
            </w:r>
            <w:r>
              <w:rPr>
                <w:rFonts w:hint="eastAsia" w:ascii="Times New Roman" w:hAnsi="Times New Roman" w:eastAsia="仿宋_GB2312" w:cs="仿宋_GB2312"/>
                <w:color w:val="auto"/>
                <w:sz w:val="24"/>
                <w:szCs w:val="24"/>
                <w:highlight w:val="none"/>
                <w:lang w:val="en-US" w:eastAsia="zh-CN"/>
              </w:rPr>
              <w:t>2</w:t>
            </w:r>
            <w:r>
              <w:rPr>
                <w:rFonts w:hint="eastAsia" w:ascii="Times New Roman" w:hAnsi="Times New Roman" w:eastAsia="仿宋_GB2312" w:cs="仿宋_GB2312"/>
                <w:color w:val="auto"/>
                <w:sz w:val="24"/>
                <w:szCs w:val="24"/>
                <w:highlight w:val="none"/>
              </w:rPr>
              <w:t>000</w:t>
            </w:r>
          </w:p>
        </w:tc>
      </w:tr>
      <w:tr w14:paraId="283AE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854" w:type="dxa"/>
            <w:noWrap w:val="0"/>
            <w:vAlign w:val="top"/>
          </w:tcPr>
          <w:p w14:paraId="34D6F6F0">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7</w:t>
            </w:r>
          </w:p>
        </w:tc>
        <w:tc>
          <w:tcPr>
            <w:tcW w:w="1661" w:type="dxa"/>
            <w:noWrap w:val="0"/>
            <w:vAlign w:val="top"/>
          </w:tcPr>
          <w:p w14:paraId="2A04913C">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居家适老化</w:t>
            </w:r>
          </w:p>
          <w:p w14:paraId="330201BE">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改造</w:t>
            </w:r>
          </w:p>
        </w:tc>
        <w:tc>
          <w:tcPr>
            <w:tcW w:w="3702" w:type="dxa"/>
            <w:noWrap w:val="0"/>
            <w:vAlign w:val="top"/>
          </w:tcPr>
          <w:p w14:paraId="3662E92A">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为老年人提供居家适老化改造咨询、方案设计，做好居家适老化施工改造、设施配备、老年用品配置等服务。</w:t>
            </w:r>
          </w:p>
        </w:tc>
        <w:tc>
          <w:tcPr>
            <w:tcW w:w="1804" w:type="dxa"/>
            <w:noWrap w:val="0"/>
            <w:vAlign w:val="top"/>
          </w:tcPr>
          <w:p w14:paraId="53D2D43C">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color w:val="auto"/>
                <w:sz w:val="24"/>
                <w:szCs w:val="24"/>
                <w:highlight w:val="none"/>
                <w:lang w:eastAsia="zh-CN"/>
              </w:rPr>
            </w:pPr>
            <w:r>
              <w:rPr>
                <w:rFonts w:hint="eastAsia" w:ascii="Times New Roman" w:hAnsi="Times New Roman" w:eastAsia="仿宋_GB2312" w:cs="仿宋_GB2312"/>
                <w:color w:val="auto"/>
                <w:sz w:val="24"/>
                <w:szCs w:val="24"/>
                <w:highlight w:val="none"/>
              </w:rPr>
              <w:t>完成户数≥</w:t>
            </w:r>
            <w:r>
              <w:rPr>
                <w:rFonts w:hint="eastAsia" w:ascii="Times New Roman" w:hAnsi="Times New Roman" w:eastAsia="仿宋_GB2312" w:cs="仿宋_GB2312"/>
                <w:color w:val="auto"/>
                <w:sz w:val="24"/>
                <w:szCs w:val="24"/>
                <w:highlight w:val="none"/>
                <w:lang w:val="en-US" w:eastAsia="zh-CN"/>
              </w:rPr>
              <w:t>5</w:t>
            </w:r>
          </w:p>
        </w:tc>
      </w:tr>
      <w:tr w14:paraId="0A2E0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854" w:type="dxa"/>
            <w:noWrap w:val="0"/>
            <w:vAlign w:val="top"/>
          </w:tcPr>
          <w:p w14:paraId="1A49549B">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w:t>
            </w:r>
          </w:p>
        </w:tc>
        <w:tc>
          <w:tcPr>
            <w:tcW w:w="1661" w:type="dxa"/>
            <w:noWrap w:val="0"/>
            <w:vAlign w:val="top"/>
          </w:tcPr>
          <w:p w14:paraId="14F91A03">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家庭养老床位</w:t>
            </w:r>
          </w:p>
        </w:tc>
        <w:tc>
          <w:tcPr>
            <w:tcW w:w="3702" w:type="dxa"/>
            <w:noWrap w:val="0"/>
            <w:vAlign w:val="top"/>
          </w:tcPr>
          <w:p w14:paraId="7B36DD40">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为老年人的居住环境和生活空间进行地面、厨房、物理环境等适老化与门磁感应等智能化家居改造，在家中设置具备机构化服务功能的床位，根据其意愿和需求提供照料护理服务。</w:t>
            </w:r>
          </w:p>
        </w:tc>
        <w:tc>
          <w:tcPr>
            <w:tcW w:w="1804" w:type="dxa"/>
            <w:noWrap w:val="0"/>
            <w:vAlign w:val="top"/>
          </w:tcPr>
          <w:p w14:paraId="63B3D5F1">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项目期间完成新建床位至少</w:t>
            </w:r>
            <w:r>
              <w:rPr>
                <w:rFonts w:hint="eastAsia" w:ascii="Times New Roman" w:hAnsi="Times New Roman" w:eastAsia="仿宋_GB2312" w:cs="仿宋_GB2312"/>
                <w:color w:val="auto"/>
                <w:sz w:val="24"/>
                <w:szCs w:val="24"/>
                <w:highlight w:val="none"/>
                <w:u w:val="single"/>
                <w:lang w:val="en-US" w:eastAsia="zh-CN"/>
              </w:rPr>
              <w:t>8</w:t>
            </w:r>
            <w:r>
              <w:rPr>
                <w:rFonts w:hint="eastAsia" w:ascii="Times New Roman" w:hAnsi="Times New Roman" w:eastAsia="仿宋_GB2312" w:cs="仿宋_GB2312"/>
                <w:color w:val="auto"/>
                <w:sz w:val="24"/>
                <w:szCs w:val="24"/>
                <w:highlight w:val="none"/>
                <w:lang w:val="en-US" w:eastAsia="zh-CN"/>
              </w:rPr>
              <w:t>张</w:t>
            </w:r>
          </w:p>
        </w:tc>
      </w:tr>
      <w:tr w14:paraId="588C0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53" w:hRule="atLeast"/>
          <w:jc w:val="center"/>
        </w:trPr>
        <w:tc>
          <w:tcPr>
            <w:tcW w:w="854" w:type="dxa"/>
            <w:noWrap w:val="0"/>
            <w:vAlign w:val="top"/>
          </w:tcPr>
          <w:p w14:paraId="66B26474">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9</w:t>
            </w:r>
          </w:p>
        </w:tc>
        <w:tc>
          <w:tcPr>
            <w:tcW w:w="1661" w:type="dxa"/>
            <w:noWrap w:val="0"/>
            <w:vAlign w:val="top"/>
          </w:tcPr>
          <w:p w14:paraId="0BA2540A">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日间托管</w:t>
            </w:r>
          </w:p>
        </w:tc>
        <w:tc>
          <w:tcPr>
            <w:tcW w:w="3702" w:type="dxa"/>
            <w:noWrap w:val="0"/>
            <w:vAlign w:val="top"/>
          </w:tcPr>
          <w:p w14:paraId="1666F97D">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在社区服务场所内为失能</w:t>
            </w:r>
            <w:r>
              <w:rPr>
                <w:rFonts w:hint="eastAsia" w:ascii="Times New Roman" w:hAnsi="Times New Roman" w:eastAsia="仿宋_GB2312" w:cs="仿宋_GB2312"/>
                <w:sz w:val="24"/>
                <w:szCs w:val="24"/>
                <w:highlight w:val="none"/>
                <w:lang w:eastAsia="zh-CN"/>
              </w:rPr>
              <w:t>（</w:t>
            </w:r>
            <w:r>
              <w:rPr>
                <w:rFonts w:hint="eastAsia" w:ascii="Times New Roman" w:hAnsi="Times New Roman" w:eastAsia="仿宋_GB2312" w:cs="仿宋_GB2312"/>
                <w:sz w:val="24"/>
                <w:szCs w:val="24"/>
                <w:highlight w:val="none"/>
              </w:rPr>
              <w:t>失智</w:t>
            </w:r>
            <w:r>
              <w:rPr>
                <w:rFonts w:hint="eastAsia" w:ascii="Times New Roman" w:hAnsi="Times New Roman" w:eastAsia="仿宋_GB2312" w:cs="仿宋_GB2312"/>
                <w:sz w:val="24"/>
                <w:szCs w:val="24"/>
                <w:highlight w:val="none"/>
                <w:lang w:eastAsia="zh-CN"/>
              </w:rPr>
              <w:t>）</w:t>
            </w:r>
            <w:r>
              <w:rPr>
                <w:rFonts w:hint="eastAsia" w:ascii="Times New Roman" w:hAnsi="Times New Roman" w:eastAsia="仿宋_GB2312" w:cs="仿宋_GB2312"/>
                <w:sz w:val="24"/>
                <w:szCs w:val="24"/>
                <w:highlight w:val="none"/>
              </w:rPr>
              <w:t xml:space="preserve"> 及日常生活需要照料的老年人提供助餐配餐、康复护理、医疗保健和文化娱乐等日间照料服务。</w:t>
            </w:r>
          </w:p>
        </w:tc>
        <w:tc>
          <w:tcPr>
            <w:tcW w:w="1804" w:type="dxa"/>
            <w:noWrap w:val="0"/>
            <w:vAlign w:val="top"/>
          </w:tcPr>
          <w:p w14:paraId="02B91331">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设置床位不少于</w:t>
            </w:r>
            <w:r>
              <w:rPr>
                <w:rFonts w:hint="eastAsia" w:ascii="Times New Roman" w:hAnsi="Times New Roman" w:eastAsia="仿宋_GB2312" w:cs="仿宋_GB2312"/>
                <w:color w:val="auto"/>
                <w:sz w:val="24"/>
                <w:szCs w:val="24"/>
                <w:highlight w:val="none"/>
                <w:u w:val="single"/>
                <w:lang w:val="en-US" w:eastAsia="zh-CN"/>
              </w:rPr>
              <w:t>8</w:t>
            </w:r>
            <w:r>
              <w:rPr>
                <w:rFonts w:hint="eastAsia" w:ascii="Times New Roman" w:hAnsi="Times New Roman" w:eastAsia="仿宋_GB2312" w:cs="仿宋_GB2312"/>
                <w:color w:val="auto"/>
                <w:sz w:val="24"/>
                <w:szCs w:val="24"/>
                <w:highlight w:val="none"/>
                <w:lang w:val="en-US" w:eastAsia="zh-CN"/>
              </w:rPr>
              <w:t>张</w:t>
            </w:r>
          </w:p>
        </w:tc>
      </w:tr>
      <w:tr w14:paraId="22713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80" w:hRule="atLeast"/>
          <w:jc w:val="center"/>
        </w:trPr>
        <w:tc>
          <w:tcPr>
            <w:tcW w:w="854" w:type="dxa"/>
            <w:noWrap w:val="0"/>
            <w:vAlign w:val="top"/>
          </w:tcPr>
          <w:p w14:paraId="602C2AE0">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10</w:t>
            </w:r>
          </w:p>
        </w:tc>
        <w:tc>
          <w:tcPr>
            <w:tcW w:w="1661" w:type="dxa"/>
            <w:noWrap w:val="0"/>
            <w:vAlign w:val="top"/>
          </w:tcPr>
          <w:p w14:paraId="648703E7">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临时托养/长期</w:t>
            </w:r>
          </w:p>
          <w:p w14:paraId="0C657A53">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托养</w:t>
            </w:r>
          </w:p>
        </w:tc>
        <w:tc>
          <w:tcPr>
            <w:tcW w:w="3702" w:type="dxa"/>
            <w:noWrap w:val="0"/>
            <w:vAlign w:val="top"/>
          </w:tcPr>
          <w:p w14:paraId="621578A1">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为老年人提供生活照料、康复护理、</w:t>
            </w:r>
          </w:p>
          <w:p w14:paraId="13582F7A">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助餐配餐、医疗保健、精神慰藉、临终关怀、辅具租赁、文化娱乐、紧急援助、夜间住宿等托养服务。</w:t>
            </w:r>
          </w:p>
        </w:tc>
        <w:tc>
          <w:tcPr>
            <w:tcW w:w="1804" w:type="dxa"/>
            <w:noWrap w:val="0"/>
            <w:vAlign w:val="top"/>
          </w:tcPr>
          <w:p w14:paraId="6CC405B4">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1.设置全托床位不少于</w:t>
            </w:r>
            <w:r>
              <w:rPr>
                <w:rFonts w:hint="eastAsia" w:ascii="Times New Roman" w:hAnsi="Times New Roman" w:eastAsia="仿宋_GB2312" w:cs="仿宋_GB2312"/>
                <w:color w:val="auto"/>
                <w:sz w:val="24"/>
                <w:szCs w:val="24"/>
                <w:highlight w:val="none"/>
                <w:u w:val="single"/>
              </w:rPr>
              <w:t>10</w:t>
            </w:r>
            <w:r>
              <w:rPr>
                <w:rFonts w:hint="eastAsia" w:ascii="Times New Roman" w:hAnsi="Times New Roman" w:eastAsia="仿宋_GB2312" w:cs="仿宋_GB2312"/>
                <w:color w:val="auto"/>
                <w:sz w:val="24"/>
                <w:szCs w:val="24"/>
                <w:highlight w:val="none"/>
              </w:rPr>
              <w:t>张，其</w:t>
            </w:r>
          </w:p>
          <w:p w14:paraId="08714AA1">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eastAsia" w:ascii="Times New Roman" w:hAnsi="Times New Roman" w:eastAsia="仿宋_GB2312" w:cs="仿宋_GB2312"/>
                <w:color w:val="auto"/>
                <w:sz w:val="24"/>
                <w:szCs w:val="24"/>
                <w:highlight w:val="none"/>
                <w:lang w:eastAsia="zh-CN"/>
              </w:rPr>
            </w:pPr>
            <w:r>
              <w:rPr>
                <w:rFonts w:hint="eastAsia" w:ascii="Times New Roman" w:hAnsi="Times New Roman" w:eastAsia="仿宋_GB2312" w:cs="仿宋_GB2312"/>
                <w:color w:val="auto"/>
                <w:sz w:val="24"/>
                <w:szCs w:val="24"/>
                <w:highlight w:val="none"/>
              </w:rPr>
              <w:t>中护理型床位不少于</w:t>
            </w:r>
            <w:r>
              <w:rPr>
                <w:rFonts w:hint="eastAsia" w:ascii="Times New Roman" w:hAnsi="Times New Roman" w:eastAsia="仿宋_GB2312" w:cs="仿宋_GB2312"/>
                <w:color w:val="auto"/>
                <w:sz w:val="24"/>
                <w:szCs w:val="24"/>
                <w:highlight w:val="none"/>
                <w:u w:val="single"/>
                <w:lang w:val="en-US" w:eastAsia="zh-CN"/>
              </w:rPr>
              <w:t>8</w:t>
            </w:r>
            <w:r>
              <w:rPr>
                <w:rFonts w:hint="eastAsia" w:ascii="Times New Roman" w:hAnsi="Times New Roman" w:eastAsia="仿宋_GB2312" w:cs="仿宋_GB2312"/>
                <w:color w:val="auto"/>
                <w:sz w:val="24"/>
                <w:szCs w:val="24"/>
                <w:highlight w:val="none"/>
              </w:rPr>
              <w:t>张</w:t>
            </w:r>
            <w:r>
              <w:rPr>
                <w:rFonts w:hint="eastAsia" w:ascii="Times New Roman" w:hAnsi="Times New Roman" w:eastAsia="仿宋_GB2312" w:cs="仿宋_GB2312"/>
                <w:color w:val="auto"/>
                <w:sz w:val="24"/>
                <w:szCs w:val="24"/>
                <w:highlight w:val="none"/>
                <w:lang w:eastAsia="zh-CN"/>
              </w:rPr>
              <w:t>；</w:t>
            </w:r>
          </w:p>
          <w:p w14:paraId="68E55861">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eastAsia" w:ascii="Times New Roman" w:hAnsi="Times New Roman" w:eastAsia="仿宋_GB2312" w:cs="仿宋_GB2312"/>
                <w:color w:val="auto"/>
                <w:sz w:val="24"/>
                <w:szCs w:val="24"/>
                <w:highlight w:val="none"/>
                <w:lang w:eastAsia="zh-CN"/>
              </w:rPr>
            </w:pPr>
            <w:r>
              <w:rPr>
                <w:rFonts w:hint="eastAsia" w:ascii="Times New Roman" w:hAnsi="Times New Roman" w:eastAsia="仿宋_GB2312" w:cs="仿宋_GB2312"/>
                <w:color w:val="auto"/>
                <w:sz w:val="24"/>
                <w:szCs w:val="24"/>
                <w:highlight w:val="none"/>
              </w:rPr>
              <w:t>2.全托床位入住率不低于</w:t>
            </w:r>
            <w:r>
              <w:rPr>
                <w:rFonts w:hint="eastAsia" w:ascii="Times New Roman" w:hAnsi="Times New Roman" w:eastAsia="仿宋_GB2312" w:cs="仿宋_GB2312"/>
                <w:color w:val="auto"/>
                <w:sz w:val="24"/>
                <w:szCs w:val="24"/>
                <w:highlight w:val="none"/>
                <w:u w:val="single"/>
                <w:lang w:val="en-US" w:eastAsia="zh-CN"/>
              </w:rPr>
              <w:t>30</w:t>
            </w:r>
            <w:r>
              <w:rPr>
                <w:rFonts w:hint="eastAsia" w:ascii="Times New Roman" w:hAnsi="Times New Roman" w:eastAsia="仿宋_GB2312" w:cs="仿宋_GB2312"/>
                <w:color w:val="auto"/>
                <w:sz w:val="24"/>
                <w:szCs w:val="24"/>
                <w:highlight w:val="none"/>
                <w:u w:val="single"/>
              </w:rPr>
              <w:t>%</w:t>
            </w:r>
            <w:r>
              <w:rPr>
                <w:rFonts w:hint="eastAsia" w:ascii="Times New Roman" w:hAnsi="Times New Roman" w:eastAsia="仿宋_GB2312" w:cs="仿宋_GB2312"/>
                <w:color w:val="auto"/>
                <w:sz w:val="24"/>
                <w:szCs w:val="24"/>
                <w:highlight w:val="none"/>
                <w:u w:val="single"/>
                <w:lang w:eastAsia="zh-CN"/>
              </w:rPr>
              <w:t>。</w:t>
            </w:r>
          </w:p>
        </w:tc>
      </w:tr>
      <w:tr w14:paraId="13E54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20" w:hRule="atLeast"/>
          <w:jc w:val="center"/>
        </w:trPr>
        <w:tc>
          <w:tcPr>
            <w:tcW w:w="854" w:type="dxa"/>
            <w:noWrap w:val="0"/>
            <w:vAlign w:val="top"/>
          </w:tcPr>
          <w:p w14:paraId="1AD7370E">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11</w:t>
            </w:r>
          </w:p>
        </w:tc>
        <w:tc>
          <w:tcPr>
            <w:tcW w:w="1661" w:type="dxa"/>
            <w:noWrap w:val="0"/>
            <w:vAlign w:val="top"/>
          </w:tcPr>
          <w:p w14:paraId="334C10FB">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医养康养/康复</w:t>
            </w:r>
          </w:p>
          <w:p w14:paraId="7C12E370">
            <w:pPr>
              <w:keepNext w:val="0"/>
              <w:keepLines w:val="0"/>
              <w:pageBreakBefore w:val="0"/>
              <w:widowControl w:val="0"/>
              <w:kinsoku/>
              <w:wordWrap/>
              <w:overflowPunct/>
              <w:topLinePunct w:val="0"/>
              <w:autoSpaceDE w:val="0"/>
              <w:autoSpaceDN w:val="0"/>
              <w:bidi w:val="0"/>
              <w:adjustRightInd/>
              <w:snapToGrid/>
              <w:spacing w:before="20"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护理</w:t>
            </w:r>
          </w:p>
        </w:tc>
        <w:tc>
          <w:tcPr>
            <w:tcW w:w="3702" w:type="dxa"/>
            <w:noWrap w:val="0"/>
            <w:vAlign w:val="top"/>
          </w:tcPr>
          <w:p w14:paraId="26522567">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1.为老年人提供生活方式和健康状况评估、体格检查、辅助检查、医疗保健、健康指导、慢病管理等健康管理和医养结合服务；</w:t>
            </w:r>
          </w:p>
          <w:p w14:paraId="75C7883D">
            <w:pPr>
              <w:keepNext w:val="0"/>
              <w:keepLines w:val="0"/>
              <w:pageBreakBefore w:val="0"/>
              <w:widowControl w:val="0"/>
              <w:kinsoku/>
              <w:wordWrap/>
              <w:overflowPunct/>
              <w:topLinePunct w:val="0"/>
              <w:autoSpaceDE w:val="0"/>
              <w:autoSpaceDN w:val="0"/>
              <w:bidi w:val="0"/>
              <w:adjustRightInd/>
              <w:snapToGrid/>
              <w:spacing w:before="20"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2.为老年人提供康复咨询、器材锻炼、康复训练、康复理疗等服务。</w:t>
            </w:r>
          </w:p>
        </w:tc>
        <w:tc>
          <w:tcPr>
            <w:tcW w:w="1804" w:type="dxa"/>
            <w:noWrap w:val="0"/>
            <w:vAlign w:val="top"/>
          </w:tcPr>
          <w:p w14:paraId="7708DB59">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1.自行获得医疗执业资质或与有医疗服务资质的第三方合作，为服务对象提供绿色就诊、转诊通道；</w:t>
            </w:r>
          </w:p>
          <w:p w14:paraId="2054E042">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2.自行获得居家护理长护险定点资质或与有资质的长护险定点资质机构合作，为服务对象提供长护险服务；</w:t>
            </w:r>
          </w:p>
          <w:p w14:paraId="3D67ED77">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3.</w:t>
            </w:r>
            <w:r>
              <w:rPr>
                <w:rFonts w:hint="eastAsia" w:ascii="Times New Roman" w:hAnsi="Times New Roman" w:eastAsia="仿宋_GB2312" w:cs="仿宋_GB2312"/>
                <w:sz w:val="24"/>
                <w:szCs w:val="24"/>
                <w:highlight w:val="none"/>
              </w:rPr>
              <w:t>服务人次≥</w:t>
            </w:r>
            <w:r>
              <w:rPr>
                <w:rFonts w:hint="eastAsia" w:ascii="Times New Roman" w:hAnsi="Times New Roman" w:eastAsia="仿宋_GB2312" w:cs="仿宋_GB2312"/>
                <w:sz w:val="24"/>
                <w:szCs w:val="24"/>
                <w:highlight w:val="none"/>
                <w:lang w:val="en-US" w:eastAsia="zh-CN"/>
              </w:rPr>
              <w:t>1</w:t>
            </w:r>
            <w:r>
              <w:rPr>
                <w:rFonts w:hint="eastAsia" w:ascii="Times New Roman" w:hAnsi="Times New Roman" w:eastAsia="仿宋_GB2312" w:cs="仿宋_GB2312"/>
                <w:sz w:val="24"/>
                <w:szCs w:val="24"/>
                <w:highlight w:val="none"/>
              </w:rPr>
              <w:t>50</w:t>
            </w:r>
          </w:p>
        </w:tc>
      </w:tr>
      <w:tr w14:paraId="48314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17" w:hRule="atLeast"/>
          <w:jc w:val="center"/>
        </w:trPr>
        <w:tc>
          <w:tcPr>
            <w:tcW w:w="854" w:type="dxa"/>
            <w:noWrap w:val="0"/>
            <w:vAlign w:val="top"/>
          </w:tcPr>
          <w:p w14:paraId="3E71C288">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12</w:t>
            </w:r>
          </w:p>
        </w:tc>
        <w:tc>
          <w:tcPr>
            <w:tcW w:w="1661" w:type="dxa"/>
            <w:noWrap w:val="0"/>
            <w:vAlign w:val="top"/>
          </w:tcPr>
          <w:p w14:paraId="0CC67665">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定期巡访</w:t>
            </w:r>
          </w:p>
        </w:tc>
        <w:tc>
          <w:tcPr>
            <w:tcW w:w="3702" w:type="dxa"/>
            <w:noWrap w:val="0"/>
            <w:vAlign w:val="top"/>
          </w:tcPr>
          <w:p w14:paraId="7CB3EE87">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通过上门探视、电话询访等方式， 为辖内常住/服务对象中的空巢</w:t>
            </w:r>
            <w:r>
              <w:rPr>
                <w:rFonts w:hint="eastAsia" w:ascii="Times New Roman" w:hAnsi="Times New Roman" w:eastAsia="仿宋_GB2312" w:cs="仿宋_GB2312"/>
                <w:sz w:val="24"/>
                <w:szCs w:val="24"/>
                <w:highlight w:val="none"/>
                <w:lang w:eastAsia="zh-CN"/>
              </w:rPr>
              <w:t>（</w:t>
            </w:r>
            <w:r>
              <w:rPr>
                <w:rFonts w:hint="eastAsia" w:ascii="Times New Roman" w:hAnsi="Times New Roman" w:eastAsia="仿宋_GB2312" w:cs="仿宋_GB2312"/>
                <w:sz w:val="24"/>
                <w:szCs w:val="24"/>
                <w:highlight w:val="none"/>
              </w:rPr>
              <w:t>独居</w:t>
            </w:r>
            <w:r>
              <w:rPr>
                <w:rFonts w:hint="eastAsia" w:ascii="Times New Roman" w:hAnsi="Times New Roman" w:eastAsia="仿宋_GB2312" w:cs="仿宋_GB2312"/>
                <w:sz w:val="24"/>
                <w:szCs w:val="24"/>
                <w:highlight w:val="none"/>
                <w:lang w:eastAsia="zh-CN"/>
              </w:rPr>
              <w:t>）</w:t>
            </w:r>
            <w:r>
              <w:rPr>
                <w:rFonts w:hint="eastAsia" w:ascii="Times New Roman" w:hAnsi="Times New Roman" w:eastAsia="仿宋_GB2312" w:cs="仿宋_GB2312"/>
                <w:sz w:val="24"/>
                <w:szCs w:val="24"/>
                <w:highlight w:val="none"/>
              </w:rPr>
              <w:t xml:space="preserve"> 、农村留守、计划生育特殊家庭、仅与重度残疾子女共同居住老年人，分散供养特困人员中的老年人，失能且事实无人照顾的老年人提供日常巡访、政策宣传、服务转介等关爱服务。</w:t>
            </w:r>
          </w:p>
        </w:tc>
        <w:tc>
          <w:tcPr>
            <w:tcW w:w="1804" w:type="dxa"/>
            <w:noWrap w:val="0"/>
            <w:vAlign w:val="top"/>
          </w:tcPr>
          <w:p w14:paraId="4BA07528">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服务人次≥1000</w:t>
            </w:r>
          </w:p>
        </w:tc>
      </w:tr>
    </w:tbl>
    <w:p w14:paraId="5D10F527">
      <w:pPr>
        <w:pStyle w:val="8"/>
        <w:keepNext w:val="0"/>
        <w:keepLines w:val="0"/>
        <w:pageBreakBefore w:val="0"/>
        <w:kinsoku/>
        <w:wordWrap/>
        <w:overflowPunct/>
        <w:topLinePunct w:val="0"/>
        <w:bidi w:val="0"/>
        <w:spacing w:line="560" w:lineRule="exact"/>
        <w:jc w:val="both"/>
        <w:rPr>
          <w:rFonts w:hint="eastAsia" w:ascii="Times New Roman" w:hAnsi="Times New Roman" w:eastAsia="仿宋_GB2312" w:cs="仿宋_GB2312"/>
          <w:color w:val="auto"/>
          <w:sz w:val="21"/>
          <w:szCs w:val="21"/>
          <w:highlight w:val="none"/>
        </w:rPr>
      </w:pPr>
    </w:p>
    <w:p w14:paraId="5019D125">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社区颐康服务站指标表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025"/>
        <w:gridCol w:w="2295"/>
      </w:tblGrid>
      <w:tr w14:paraId="01D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0E3D99C0">
            <w:pPr>
              <w:keepNext w:val="0"/>
              <w:keepLines w:val="0"/>
              <w:pageBreakBefore w:val="0"/>
              <w:kinsoku/>
              <w:wordWrap/>
              <w:overflowPunct/>
              <w:topLinePunct w:val="0"/>
              <w:autoSpaceDE w:val="0"/>
              <w:autoSpaceDN w:val="0"/>
              <w:bidi w:val="0"/>
              <w:spacing w:before="160" w:line="560" w:lineRule="exact"/>
              <w:jc w:val="center"/>
              <w:rPr>
                <w:rFonts w:hint="eastAsia" w:ascii="Times New Roman" w:hAnsi="Times New Roman" w:eastAsia="仿宋_GB2312" w:cs="仿宋_GB2312"/>
                <w:b/>
                <w:bCs/>
                <w:sz w:val="28"/>
                <w:szCs w:val="28"/>
                <w:highlight w:val="none"/>
                <w:vertAlign w:val="baseline"/>
                <w:lang w:eastAsia="zh-CN"/>
              </w:rPr>
            </w:pPr>
            <w:r>
              <w:rPr>
                <w:rFonts w:hint="eastAsia" w:ascii="Times New Roman" w:hAnsi="Times New Roman" w:eastAsia="仿宋_GB2312" w:cs="仿宋_GB2312"/>
                <w:b/>
                <w:bCs/>
                <w:sz w:val="28"/>
                <w:szCs w:val="28"/>
                <w:highlight w:val="none"/>
                <w:vertAlign w:val="baseline"/>
                <w:lang w:eastAsia="zh-CN"/>
              </w:rPr>
              <w:t>序号</w:t>
            </w:r>
          </w:p>
        </w:tc>
        <w:tc>
          <w:tcPr>
            <w:tcW w:w="2025" w:type="dxa"/>
            <w:noWrap w:val="0"/>
            <w:vAlign w:val="top"/>
          </w:tcPr>
          <w:p w14:paraId="4A494DBC">
            <w:pPr>
              <w:keepNext w:val="0"/>
              <w:keepLines w:val="0"/>
              <w:pageBreakBefore w:val="0"/>
              <w:kinsoku/>
              <w:wordWrap/>
              <w:overflowPunct/>
              <w:topLinePunct w:val="0"/>
              <w:autoSpaceDE w:val="0"/>
              <w:autoSpaceDN w:val="0"/>
              <w:bidi w:val="0"/>
              <w:spacing w:before="160" w:line="560" w:lineRule="exact"/>
              <w:jc w:val="center"/>
              <w:rPr>
                <w:rFonts w:hint="eastAsia" w:ascii="Times New Roman" w:hAnsi="Times New Roman" w:eastAsia="仿宋_GB2312" w:cs="仿宋_GB2312"/>
                <w:b/>
                <w:bCs/>
                <w:sz w:val="28"/>
                <w:szCs w:val="28"/>
                <w:highlight w:val="none"/>
                <w:vertAlign w:val="baseline"/>
                <w:lang w:eastAsia="zh-CN"/>
              </w:rPr>
            </w:pPr>
            <w:r>
              <w:rPr>
                <w:rFonts w:hint="eastAsia" w:ascii="Times New Roman" w:hAnsi="Times New Roman" w:eastAsia="仿宋_GB2312" w:cs="仿宋_GB2312"/>
                <w:b/>
                <w:bCs/>
                <w:sz w:val="28"/>
                <w:szCs w:val="28"/>
                <w:highlight w:val="none"/>
                <w:vertAlign w:val="baseline"/>
                <w:lang w:eastAsia="zh-CN"/>
              </w:rPr>
              <w:t>服务项目</w:t>
            </w:r>
          </w:p>
        </w:tc>
        <w:tc>
          <w:tcPr>
            <w:tcW w:w="2295" w:type="dxa"/>
            <w:noWrap w:val="0"/>
            <w:vAlign w:val="top"/>
          </w:tcPr>
          <w:p w14:paraId="197139D6">
            <w:pPr>
              <w:keepNext w:val="0"/>
              <w:keepLines w:val="0"/>
              <w:pageBreakBefore w:val="0"/>
              <w:kinsoku/>
              <w:wordWrap/>
              <w:overflowPunct/>
              <w:topLinePunct w:val="0"/>
              <w:autoSpaceDE w:val="0"/>
              <w:autoSpaceDN w:val="0"/>
              <w:bidi w:val="0"/>
              <w:spacing w:before="160" w:line="560" w:lineRule="exact"/>
              <w:jc w:val="center"/>
              <w:rPr>
                <w:rFonts w:hint="eastAsia" w:ascii="Times New Roman" w:hAnsi="Times New Roman" w:eastAsia="仿宋_GB2312" w:cs="仿宋_GB2312"/>
                <w:b/>
                <w:bCs/>
                <w:sz w:val="28"/>
                <w:szCs w:val="28"/>
                <w:highlight w:val="none"/>
                <w:vertAlign w:val="baseline"/>
                <w:lang w:eastAsia="zh-CN"/>
              </w:rPr>
            </w:pPr>
            <w:r>
              <w:rPr>
                <w:rFonts w:hint="eastAsia" w:ascii="Times New Roman" w:hAnsi="Times New Roman" w:eastAsia="仿宋_GB2312" w:cs="仿宋_GB2312"/>
                <w:b/>
                <w:bCs/>
                <w:sz w:val="28"/>
                <w:szCs w:val="28"/>
                <w:highlight w:val="none"/>
                <w:vertAlign w:val="baseline"/>
                <w:lang w:eastAsia="zh-CN"/>
              </w:rPr>
              <w:t>服务指标</w:t>
            </w:r>
          </w:p>
        </w:tc>
      </w:tr>
      <w:tr w14:paraId="1E4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3D290C53">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lang w:val="en-US" w:eastAsia="zh-CN"/>
              </w:rPr>
            </w:pPr>
            <w:r>
              <w:rPr>
                <w:rFonts w:hint="eastAsia" w:ascii="Times New Roman" w:hAnsi="Times New Roman" w:eastAsia="仿宋_GB2312" w:cs="仿宋_GB2312"/>
                <w:sz w:val="21"/>
                <w:szCs w:val="21"/>
                <w:highlight w:val="none"/>
                <w:vertAlign w:val="baseline"/>
                <w:lang w:val="en-US" w:eastAsia="zh-CN"/>
              </w:rPr>
              <w:t>1</w:t>
            </w:r>
          </w:p>
        </w:tc>
        <w:tc>
          <w:tcPr>
            <w:tcW w:w="2025" w:type="dxa"/>
            <w:noWrap w:val="0"/>
            <w:vAlign w:val="top"/>
          </w:tcPr>
          <w:p w14:paraId="43B64680">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rPr>
            </w:pPr>
            <w:r>
              <w:rPr>
                <w:rStyle w:val="14"/>
                <w:rFonts w:hint="eastAsia" w:ascii="Times New Roman" w:hAnsi="Times New Roman" w:eastAsia="仿宋_GB2312" w:cs="仿宋_GB2312"/>
                <w:sz w:val="21"/>
                <w:szCs w:val="21"/>
                <w:highlight w:val="none"/>
                <w:lang w:val="en-US" w:eastAsia="zh-CN" w:bidi="ar"/>
              </w:rPr>
              <w:t>养老服务向导</w:t>
            </w:r>
          </w:p>
        </w:tc>
        <w:tc>
          <w:tcPr>
            <w:tcW w:w="2295" w:type="dxa"/>
            <w:noWrap w:val="0"/>
            <w:vAlign w:val="top"/>
          </w:tcPr>
          <w:p w14:paraId="0C70BA33">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rPr>
            </w:pPr>
            <w:r>
              <w:rPr>
                <w:rStyle w:val="14"/>
                <w:rFonts w:hint="eastAsia" w:ascii="Times New Roman" w:hAnsi="Times New Roman" w:eastAsia="仿宋_GB2312" w:cs="仿宋_GB2312"/>
                <w:sz w:val="21"/>
                <w:szCs w:val="21"/>
                <w:highlight w:val="none"/>
                <w:lang w:val="en-US" w:eastAsia="zh-CN" w:bidi="ar"/>
              </w:rPr>
              <w:t>服务人次</w:t>
            </w:r>
            <w:r>
              <w:rPr>
                <w:rFonts w:hint="eastAsia" w:ascii="Times New Roman" w:hAnsi="Times New Roman" w:eastAsia="仿宋_GB2312" w:cs="仿宋_GB2312"/>
                <w:i w:val="0"/>
                <w:iCs w:val="0"/>
                <w:color w:val="000000"/>
                <w:kern w:val="0"/>
                <w:sz w:val="21"/>
                <w:szCs w:val="21"/>
                <w:highlight w:val="none"/>
                <w:u w:val="none"/>
                <w:lang w:val="en-US" w:eastAsia="zh-CN" w:bidi="ar"/>
              </w:rPr>
              <w:t>≥50</w:t>
            </w:r>
          </w:p>
        </w:tc>
      </w:tr>
      <w:tr w14:paraId="2063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464E141A">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lang w:val="en-US" w:eastAsia="zh-CN"/>
              </w:rPr>
            </w:pPr>
            <w:r>
              <w:rPr>
                <w:rFonts w:hint="eastAsia" w:ascii="Times New Roman" w:hAnsi="Times New Roman" w:eastAsia="仿宋_GB2312" w:cs="仿宋_GB2312"/>
                <w:sz w:val="21"/>
                <w:szCs w:val="21"/>
                <w:highlight w:val="none"/>
                <w:vertAlign w:val="baseline"/>
                <w:lang w:val="en-US" w:eastAsia="zh-CN"/>
              </w:rPr>
              <w:t>2</w:t>
            </w:r>
          </w:p>
        </w:tc>
        <w:tc>
          <w:tcPr>
            <w:tcW w:w="2025" w:type="dxa"/>
            <w:noWrap w:val="0"/>
            <w:vAlign w:val="top"/>
          </w:tcPr>
          <w:p w14:paraId="7407D763">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rPr>
            </w:pPr>
            <w:r>
              <w:rPr>
                <w:rStyle w:val="14"/>
                <w:rFonts w:hint="eastAsia" w:ascii="Times New Roman" w:hAnsi="Times New Roman" w:eastAsia="仿宋_GB2312" w:cs="仿宋_GB2312"/>
                <w:sz w:val="21"/>
                <w:szCs w:val="21"/>
                <w:highlight w:val="none"/>
                <w:lang w:val="en-US" w:eastAsia="zh-CN" w:bidi="ar"/>
              </w:rPr>
              <w:t>助餐配餐服务</w:t>
            </w:r>
          </w:p>
        </w:tc>
        <w:tc>
          <w:tcPr>
            <w:tcW w:w="2295" w:type="dxa"/>
            <w:noWrap w:val="0"/>
            <w:vAlign w:val="top"/>
          </w:tcPr>
          <w:p w14:paraId="02F5B065">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rPr>
            </w:pPr>
            <w:r>
              <w:rPr>
                <w:rStyle w:val="14"/>
                <w:rFonts w:hint="eastAsia" w:ascii="Times New Roman" w:hAnsi="Times New Roman" w:eastAsia="仿宋_GB2312" w:cs="仿宋_GB2312"/>
                <w:sz w:val="21"/>
                <w:szCs w:val="21"/>
                <w:highlight w:val="none"/>
                <w:lang w:val="en-US" w:eastAsia="zh-CN" w:bidi="ar"/>
              </w:rPr>
              <w:t>服务人次</w:t>
            </w:r>
            <w:r>
              <w:rPr>
                <w:rFonts w:hint="eastAsia" w:ascii="Times New Roman" w:hAnsi="Times New Roman" w:eastAsia="仿宋_GB2312" w:cs="仿宋_GB2312"/>
                <w:i w:val="0"/>
                <w:iCs w:val="0"/>
                <w:color w:val="000000"/>
                <w:kern w:val="0"/>
                <w:sz w:val="21"/>
                <w:szCs w:val="21"/>
                <w:highlight w:val="none"/>
                <w:u w:val="none"/>
                <w:lang w:val="en-US" w:eastAsia="zh-CN" w:bidi="ar"/>
              </w:rPr>
              <w:t>≥400</w:t>
            </w:r>
          </w:p>
        </w:tc>
      </w:tr>
      <w:tr w14:paraId="5FC7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480F39B9">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lang w:val="en-US" w:eastAsia="zh-CN"/>
              </w:rPr>
            </w:pPr>
            <w:r>
              <w:rPr>
                <w:rFonts w:hint="eastAsia" w:ascii="Times New Roman" w:hAnsi="Times New Roman" w:eastAsia="仿宋_GB2312" w:cs="仿宋_GB2312"/>
                <w:sz w:val="21"/>
                <w:szCs w:val="21"/>
                <w:highlight w:val="none"/>
                <w:vertAlign w:val="baseline"/>
                <w:lang w:val="en-US" w:eastAsia="zh-CN"/>
              </w:rPr>
              <w:t>3</w:t>
            </w:r>
          </w:p>
        </w:tc>
        <w:tc>
          <w:tcPr>
            <w:tcW w:w="2025" w:type="dxa"/>
            <w:noWrap w:val="0"/>
            <w:vAlign w:val="top"/>
          </w:tcPr>
          <w:p w14:paraId="78FD0F33">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rPr>
            </w:pPr>
            <w:r>
              <w:rPr>
                <w:rStyle w:val="14"/>
                <w:rFonts w:hint="eastAsia" w:ascii="Times New Roman" w:hAnsi="Times New Roman" w:eastAsia="仿宋_GB2312" w:cs="仿宋_GB2312"/>
                <w:sz w:val="21"/>
                <w:szCs w:val="21"/>
                <w:highlight w:val="none"/>
                <w:lang w:val="en-US" w:eastAsia="zh-CN" w:bidi="ar"/>
              </w:rPr>
              <w:t>生活照料服务</w:t>
            </w:r>
          </w:p>
        </w:tc>
        <w:tc>
          <w:tcPr>
            <w:tcW w:w="2295" w:type="dxa"/>
            <w:noWrap w:val="0"/>
            <w:vAlign w:val="top"/>
          </w:tcPr>
          <w:p w14:paraId="5DBD4732">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default" w:ascii="Times New Roman" w:hAnsi="Times New Roman" w:eastAsia="仿宋_GB2312" w:cs="仿宋_GB2312"/>
                <w:sz w:val="21"/>
                <w:szCs w:val="21"/>
                <w:highlight w:val="none"/>
                <w:vertAlign w:val="baseline"/>
                <w:lang w:val="en-US"/>
              </w:rPr>
            </w:pPr>
            <w:r>
              <w:rPr>
                <w:rStyle w:val="14"/>
                <w:rFonts w:hint="eastAsia" w:ascii="Times New Roman" w:hAnsi="Times New Roman" w:eastAsia="仿宋_GB2312" w:cs="仿宋_GB2312"/>
                <w:sz w:val="21"/>
                <w:szCs w:val="21"/>
                <w:highlight w:val="none"/>
                <w:lang w:val="en-US" w:eastAsia="zh-CN" w:bidi="ar"/>
              </w:rPr>
              <w:t>服务人次</w:t>
            </w:r>
            <w:r>
              <w:rPr>
                <w:rFonts w:hint="eastAsia" w:ascii="Times New Roman" w:hAnsi="Times New Roman" w:eastAsia="仿宋_GB2312" w:cs="仿宋_GB2312"/>
                <w:i w:val="0"/>
                <w:iCs w:val="0"/>
                <w:color w:val="000000"/>
                <w:kern w:val="0"/>
                <w:sz w:val="21"/>
                <w:szCs w:val="21"/>
                <w:highlight w:val="none"/>
                <w:u w:val="none"/>
                <w:lang w:val="en-US" w:eastAsia="zh-CN" w:bidi="ar"/>
              </w:rPr>
              <w:t>≥25</w:t>
            </w:r>
          </w:p>
        </w:tc>
      </w:tr>
      <w:tr w14:paraId="3D7E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15840E96">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lang w:val="en-US" w:eastAsia="zh-CN"/>
              </w:rPr>
            </w:pPr>
            <w:r>
              <w:rPr>
                <w:rFonts w:hint="eastAsia" w:ascii="Times New Roman" w:hAnsi="Times New Roman" w:eastAsia="仿宋_GB2312" w:cs="仿宋_GB2312"/>
                <w:sz w:val="21"/>
                <w:szCs w:val="21"/>
                <w:highlight w:val="none"/>
                <w:vertAlign w:val="baseline"/>
                <w:lang w:val="en-US" w:eastAsia="zh-CN"/>
              </w:rPr>
              <w:t>4</w:t>
            </w:r>
          </w:p>
        </w:tc>
        <w:tc>
          <w:tcPr>
            <w:tcW w:w="2025" w:type="dxa"/>
            <w:noWrap w:val="0"/>
            <w:vAlign w:val="top"/>
          </w:tcPr>
          <w:p w14:paraId="656A0289">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Style w:val="14"/>
                <w:rFonts w:hint="eastAsia" w:ascii="Times New Roman" w:hAnsi="Times New Roman" w:eastAsia="仿宋_GB2312" w:cs="仿宋_GB2312"/>
                <w:sz w:val="21"/>
                <w:szCs w:val="21"/>
                <w:highlight w:val="none"/>
                <w:lang w:val="en-US" w:eastAsia="zh-CN" w:bidi="ar"/>
              </w:rPr>
            </w:pPr>
            <w:r>
              <w:rPr>
                <w:rStyle w:val="14"/>
                <w:rFonts w:hint="eastAsia" w:ascii="Times New Roman" w:hAnsi="Times New Roman" w:eastAsia="仿宋_GB2312" w:cs="仿宋_GB2312"/>
                <w:sz w:val="21"/>
                <w:szCs w:val="21"/>
                <w:highlight w:val="none"/>
                <w:lang w:val="en-US" w:eastAsia="zh-CN" w:bidi="ar"/>
              </w:rPr>
              <w:t>文体教育</w:t>
            </w:r>
          </w:p>
        </w:tc>
        <w:tc>
          <w:tcPr>
            <w:tcW w:w="2295" w:type="dxa"/>
            <w:noWrap w:val="0"/>
            <w:vAlign w:val="top"/>
          </w:tcPr>
          <w:p w14:paraId="49E0C8E5">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Style w:val="14"/>
                <w:rFonts w:hint="eastAsia" w:ascii="Times New Roman" w:hAnsi="Times New Roman" w:eastAsia="仿宋_GB2312" w:cs="仿宋_GB2312"/>
                <w:sz w:val="21"/>
                <w:szCs w:val="21"/>
                <w:highlight w:val="none"/>
                <w:lang w:val="en-US" w:eastAsia="zh-CN" w:bidi="ar"/>
              </w:rPr>
            </w:pPr>
            <w:r>
              <w:rPr>
                <w:rStyle w:val="14"/>
                <w:rFonts w:hint="eastAsia" w:ascii="Times New Roman" w:hAnsi="Times New Roman" w:eastAsia="仿宋_GB2312" w:cs="仿宋_GB2312"/>
                <w:sz w:val="21"/>
                <w:szCs w:val="21"/>
                <w:highlight w:val="none"/>
                <w:lang w:val="en-US" w:eastAsia="zh-CN" w:bidi="ar"/>
              </w:rPr>
              <w:t>服务人次</w:t>
            </w:r>
            <w:r>
              <w:rPr>
                <w:rFonts w:hint="eastAsia" w:ascii="Times New Roman" w:hAnsi="Times New Roman" w:eastAsia="仿宋_GB2312" w:cs="仿宋_GB2312"/>
                <w:i w:val="0"/>
                <w:iCs w:val="0"/>
                <w:color w:val="000000"/>
                <w:kern w:val="0"/>
                <w:sz w:val="21"/>
                <w:szCs w:val="21"/>
                <w:highlight w:val="none"/>
                <w:u w:val="none"/>
                <w:lang w:val="en-US" w:eastAsia="zh-CN" w:bidi="ar"/>
              </w:rPr>
              <w:t>≥300</w:t>
            </w:r>
          </w:p>
        </w:tc>
      </w:tr>
      <w:tr w14:paraId="4D30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14:paraId="533E1D4E">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Fonts w:hint="eastAsia" w:ascii="Times New Roman" w:hAnsi="Times New Roman" w:eastAsia="仿宋_GB2312" w:cs="仿宋_GB2312"/>
                <w:sz w:val="21"/>
                <w:szCs w:val="21"/>
                <w:highlight w:val="none"/>
                <w:vertAlign w:val="baseline"/>
                <w:lang w:val="en-US" w:eastAsia="zh-CN"/>
              </w:rPr>
            </w:pPr>
            <w:r>
              <w:rPr>
                <w:rFonts w:hint="eastAsia" w:ascii="Times New Roman" w:hAnsi="Times New Roman" w:eastAsia="仿宋_GB2312" w:cs="仿宋_GB2312"/>
                <w:sz w:val="21"/>
                <w:szCs w:val="21"/>
                <w:highlight w:val="none"/>
                <w:vertAlign w:val="baseline"/>
                <w:lang w:val="en-US" w:eastAsia="zh-CN"/>
              </w:rPr>
              <w:t>5</w:t>
            </w:r>
          </w:p>
        </w:tc>
        <w:tc>
          <w:tcPr>
            <w:tcW w:w="2025" w:type="dxa"/>
            <w:noWrap w:val="0"/>
            <w:vAlign w:val="top"/>
          </w:tcPr>
          <w:p w14:paraId="573C0BCE">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Style w:val="14"/>
                <w:rFonts w:hint="eastAsia" w:ascii="Times New Roman" w:hAnsi="Times New Roman" w:eastAsia="仿宋_GB2312" w:cs="仿宋_GB2312"/>
                <w:sz w:val="21"/>
                <w:szCs w:val="21"/>
                <w:highlight w:val="none"/>
                <w:lang w:val="en-US" w:eastAsia="zh-CN" w:bidi="ar"/>
              </w:rPr>
            </w:pPr>
            <w:r>
              <w:rPr>
                <w:rStyle w:val="14"/>
                <w:rFonts w:hint="eastAsia" w:ascii="Times New Roman" w:hAnsi="Times New Roman" w:eastAsia="仿宋_GB2312" w:cs="仿宋_GB2312"/>
                <w:sz w:val="21"/>
                <w:szCs w:val="21"/>
                <w:highlight w:val="none"/>
                <w:lang w:val="en-US" w:eastAsia="zh-CN" w:bidi="ar"/>
              </w:rPr>
              <w:t>日间托管</w:t>
            </w:r>
          </w:p>
        </w:tc>
        <w:tc>
          <w:tcPr>
            <w:tcW w:w="2295" w:type="dxa"/>
            <w:noWrap w:val="0"/>
            <w:vAlign w:val="top"/>
          </w:tcPr>
          <w:p w14:paraId="0CA633BF">
            <w:pPr>
              <w:keepNext w:val="0"/>
              <w:keepLines w:val="0"/>
              <w:pageBreakBefore w:val="0"/>
              <w:widowControl w:val="0"/>
              <w:kinsoku/>
              <w:wordWrap/>
              <w:overflowPunct/>
              <w:topLinePunct w:val="0"/>
              <w:autoSpaceDE w:val="0"/>
              <w:autoSpaceDN w:val="0"/>
              <w:bidi w:val="0"/>
              <w:adjustRightInd/>
              <w:snapToGrid/>
              <w:spacing w:before="160" w:line="240" w:lineRule="atLeast"/>
              <w:jc w:val="center"/>
              <w:textAlignment w:val="auto"/>
              <w:rPr>
                <w:rStyle w:val="14"/>
                <w:rFonts w:hint="eastAsia" w:ascii="Times New Roman" w:hAnsi="Times New Roman" w:eastAsia="仿宋_GB2312" w:cs="仿宋_GB2312"/>
                <w:sz w:val="21"/>
                <w:szCs w:val="21"/>
                <w:highlight w:val="none"/>
                <w:lang w:val="en-US" w:eastAsia="zh-CN" w:bidi="ar"/>
              </w:rPr>
            </w:pPr>
            <w:r>
              <w:rPr>
                <w:rStyle w:val="14"/>
                <w:rFonts w:hint="eastAsia" w:ascii="Times New Roman" w:hAnsi="Times New Roman" w:eastAsia="仿宋_GB2312" w:cs="仿宋_GB2312"/>
                <w:sz w:val="21"/>
                <w:szCs w:val="21"/>
                <w:highlight w:val="none"/>
                <w:lang w:val="en-US" w:eastAsia="zh-CN" w:bidi="ar"/>
              </w:rPr>
              <w:t>服务人次</w:t>
            </w:r>
            <w:r>
              <w:rPr>
                <w:rFonts w:hint="eastAsia" w:ascii="Times New Roman" w:hAnsi="Times New Roman" w:eastAsia="仿宋_GB2312" w:cs="仿宋_GB2312"/>
                <w:i w:val="0"/>
                <w:iCs w:val="0"/>
                <w:color w:val="000000"/>
                <w:kern w:val="0"/>
                <w:sz w:val="21"/>
                <w:szCs w:val="21"/>
                <w:highlight w:val="none"/>
                <w:u w:val="none"/>
                <w:lang w:val="en-US" w:eastAsia="zh-CN" w:bidi="ar"/>
              </w:rPr>
              <w:t>≥10</w:t>
            </w:r>
          </w:p>
        </w:tc>
      </w:tr>
    </w:tbl>
    <w:p w14:paraId="06E90A91">
      <w:pPr>
        <w:pStyle w:val="8"/>
        <w:keepNext w:val="0"/>
        <w:keepLines w:val="0"/>
        <w:pageBreakBefore w:val="0"/>
        <w:kinsoku/>
        <w:wordWrap/>
        <w:overflowPunct/>
        <w:topLinePunct w:val="0"/>
        <w:bidi w:val="0"/>
        <w:spacing w:line="560" w:lineRule="exact"/>
        <w:jc w:val="center"/>
        <w:rPr>
          <w:rFonts w:hint="eastAsia" w:ascii="Times New Roman" w:hAnsi="Times New Roman" w:eastAsia="仿宋_GB2312" w:cs="仿宋_GB2312"/>
          <w:color w:val="auto"/>
          <w:sz w:val="28"/>
          <w:szCs w:val="28"/>
        </w:rPr>
      </w:pPr>
    </w:p>
    <w:p w14:paraId="01ED8BF7">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三、服务机构和人员要求</w:t>
      </w:r>
    </w:p>
    <w:p w14:paraId="7A115987">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xml:space="preserve">（一）服务机构要求 </w:t>
      </w:r>
    </w:p>
    <w:p w14:paraId="65155B29">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color w:val="auto"/>
          <w:kern w:val="24"/>
          <w:sz w:val="28"/>
          <w:szCs w:val="28"/>
        </w:rPr>
        <w:t>★</w:t>
      </w:r>
      <w:r>
        <w:rPr>
          <w:rFonts w:hint="eastAsia" w:ascii="Times New Roman" w:hAnsi="Times New Roman" w:eastAsia="仿宋_GB2312" w:cs="仿宋_GB2312"/>
          <w:color w:val="auto"/>
          <w:kern w:val="0"/>
          <w:sz w:val="32"/>
          <w:szCs w:val="32"/>
        </w:rPr>
        <w:t>1.服务机构提供的居家养老服务项目应严格按照</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0"/>
          <w:sz w:val="32"/>
          <w:szCs w:val="32"/>
        </w:rPr>
        <w:t>中华人民共和国老年人权益保障法》《广东省养老服务条例》《广东省老年人权益保障条例》</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kern w:val="0"/>
          <w:sz w:val="32"/>
          <w:szCs w:val="32"/>
          <w:lang w:val="en-US" w:eastAsia="zh-CN"/>
        </w:rPr>
        <w:t>广州市居家社区养老服务管理办法》</w:t>
      </w:r>
      <w:r>
        <w:rPr>
          <w:rFonts w:hint="eastAsia" w:ascii="Times New Roman" w:hAnsi="Times New Roman" w:eastAsia="仿宋_GB2312" w:cs="仿宋_GB2312"/>
          <w:color w:val="auto"/>
          <w:sz w:val="32"/>
          <w:szCs w:val="32"/>
          <w:highlight w:val="none"/>
        </w:rPr>
        <w:t>等各级养老服务、医疗卫生、食品安全等领域法律法规及政策文件，以及相关标准开展服务。如有最新政策要求的应当及时调整。</w:t>
      </w:r>
    </w:p>
    <w:p w14:paraId="165485C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建立健全项目和资金管理办法，建立专款专用制度，单独使用和核算项目经费，制定项目预算表并报送</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审核，接受财政、审计、民政、街</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等有关部门的监督管理。</w:t>
      </w:r>
    </w:p>
    <w:p w14:paraId="1E41E22C">
      <w:pPr>
        <w:pStyle w:val="10"/>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3.未经街道书面同意，机构不得停止或者暂停本项目，不得出现减少服务内容、变更服务场地、缩减服务场地面积或者将场地用于其他用途等行为。</w:t>
      </w:r>
    </w:p>
    <w:p w14:paraId="4F907B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4.机构履行协议过程中，</w:t>
      </w:r>
      <w:r>
        <w:rPr>
          <w:rFonts w:hint="eastAsia" w:ascii="Times New Roman" w:hAnsi="Times New Roman" w:eastAsia="仿宋_GB2312" w:cs="仿宋_GB2312"/>
          <w:color w:val="auto"/>
          <w:sz w:val="32"/>
          <w:szCs w:val="32"/>
          <w:highlight w:val="none"/>
        </w:rPr>
        <w:t>原则上不得将服务项目委托给第三方，若因专业性较强的资质原因需委托第三方开展服务的，需经过</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书面审核同意后签署服务委托协议，</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对第三方开展的服务负责。</w:t>
      </w:r>
    </w:p>
    <w:p w14:paraId="2AC9A80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无正当理由不得拒绝老年人入住服务设施或拒绝为老年人提供服务。</w:t>
      </w:r>
    </w:p>
    <w:p w14:paraId="4157C3E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应当按照规定制订项目运营服务计划书并提交</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审核。应当定期向街道反馈服务开展情况，配合</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及其他政府部门的监督与检查。应当按规定定期接受民政部门组织的服务评估。</w:t>
      </w:r>
    </w:p>
    <w:p w14:paraId="78222993">
      <w:pPr>
        <w:pStyle w:val="8"/>
        <w:spacing w:line="56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应当按照三防、消防、安全生产、疫情防控等有关要求，做好人员、场地、设施设备等的防控及安全管理，建立服务风险应对预案和应急处置机制，落实安全管理主体责任。</w:t>
      </w:r>
    </w:p>
    <w:p w14:paraId="0D1FFB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应当严格按照有关法律法规规定，负责其工作人员的工资、社保等薪酬待遇保障以及有关意外安全责任</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包括人员上下班途中和工作中的安全问题，甲方无须承担任何责任</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如乙方员工被甲方安排参加防疫、救灾等有关应急工作，甲方应当为其提供相应的安全保障措施。</w:t>
      </w:r>
    </w:p>
    <w:p w14:paraId="2FAE39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须提供安全设施给予工作人员以保障其工作安全，并须加强对员工的监管，若</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员工有任何不当</w:t>
      </w:r>
      <w:r>
        <w:rPr>
          <w:rFonts w:hint="eastAsia" w:ascii="Times New Roman" w:hAnsi="Times New Roman" w:eastAsia="仿宋_GB2312" w:cs="仿宋_GB2312"/>
          <w:color w:val="auto"/>
          <w:sz w:val="32"/>
          <w:szCs w:val="32"/>
          <w:highlight w:val="none"/>
          <w:lang w:eastAsia="zh-CN"/>
        </w:rPr>
        <w:t>行</w:t>
      </w:r>
      <w:r>
        <w:rPr>
          <w:rFonts w:hint="eastAsia" w:ascii="Times New Roman" w:hAnsi="Times New Roman" w:eastAsia="仿宋_GB2312" w:cs="仿宋_GB2312"/>
          <w:color w:val="auto"/>
          <w:sz w:val="32"/>
          <w:szCs w:val="32"/>
          <w:highlight w:val="none"/>
        </w:rPr>
        <w:t>为，引致</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或其他第三方的任何物质或名誉损失，</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应当及时采取适当措施消除不良影响并赔偿由此造成的损失。</w:t>
      </w:r>
    </w:p>
    <w:p w14:paraId="41237A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.机构应当按规范使用广州市为老服务综合平台开展服务，确保服务数据、服务机构、服务设施、工作人员等信息100%录入系统，并对数据的真实性、完整性、准确性负责。</w:t>
      </w:r>
    </w:p>
    <w:p w14:paraId="31680F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rPr>
      </w:pP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开展服务，应当与街道协商定价，收费标准符合普惠性养老服务要求，其中全托服务月收费标准(不含特需照护)不得高于广州城市常住居民上年度月人均可支配收入的1.5倍</w:t>
      </w:r>
      <w:r>
        <w:rPr>
          <w:rFonts w:hint="eastAsia" w:ascii="Times New Roman" w:hAnsi="Times New Roman" w:eastAsia="仿宋_GB2312" w:cs="仿宋_GB2312"/>
          <w:color w:val="auto"/>
          <w:sz w:val="32"/>
          <w:szCs w:val="32"/>
          <w:highlight w:val="none"/>
          <w:lang w:val="en-US" w:eastAsia="zh-CN"/>
        </w:rPr>
        <w:t>或整体收费价格不超过同等市场化价格的70%</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调整收费标准的，应当经</w:t>
      </w:r>
      <w:r>
        <w:rPr>
          <w:rFonts w:hint="eastAsia" w:ascii="Times New Roman" w:hAnsi="Times New Roman" w:eastAsia="仿宋_GB2312" w:cs="仿宋_GB2312"/>
          <w:color w:val="auto"/>
          <w:sz w:val="32"/>
          <w:szCs w:val="32"/>
          <w:highlight w:val="none"/>
          <w:lang w:eastAsia="zh-CN"/>
        </w:rPr>
        <w:t>街道</w:t>
      </w:r>
      <w:r>
        <w:rPr>
          <w:rFonts w:hint="eastAsia" w:ascii="Times New Roman" w:hAnsi="Times New Roman" w:eastAsia="仿宋_GB2312" w:cs="仿宋_GB2312"/>
          <w:color w:val="auto"/>
          <w:sz w:val="32"/>
          <w:szCs w:val="32"/>
          <w:highlight w:val="none"/>
        </w:rPr>
        <w:t>书面同意后方可按最新收费标准执行。服务收费标准应当在服务设施醒目位置进行公示。</w:t>
      </w:r>
    </w:p>
    <w:p w14:paraId="28FD1E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lang w:eastAsia="zh-CN"/>
        </w:rPr>
        <w:t>机构</w:t>
      </w:r>
      <w:r>
        <w:rPr>
          <w:rFonts w:hint="eastAsia" w:ascii="Times New Roman" w:hAnsi="Times New Roman" w:eastAsia="仿宋_GB2312" w:cs="仿宋_GB2312"/>
          <w:color w:val="auto"/>
          <w:sz w:val="32"/>
          <w:szCs w:val="32"/>
          <w:highlight w:val="none"/>
        </w:rPr>
        <w:t>开展项目过程中不得出现广州市地方标准《综合养老服务中心基本规范》附录C规定的颐康中心、颐康服务站负面清单有关情形。</w:t>
      </w:r>
    </w:p>
    <w:p w14:paraId="2EBEBEAB">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b/>
          <w:bCs/>
          <w:color w:val="auto"/>
          <w:sz w:val="32"/>
          <w:szCs w:val="32"/>
          <w:lang w:val="en-US" w:eastAsia="zh-CN"/>
        </w:rPr>
        <w:t>二</w:t>
      </w:r>
      <w:r>
        <w:rPr>
          <w:rFonts w:hint="eastAsia" w:ascii="Times New Roman" w:hAnsi="Times New Roman" w:eastAsia="仿宋_GB2312" w:cs="仿宋_GB2312"/>
          <w:b/>
          <w:bCs/>
          <w:color w:val="auto"/>
          <w:sz w:val="32"/>
          <w:szCs w:val="32"/>
        </w:rPr>
        <w:t xml:space="preserve">）人员要求 </w:t>
      </w:r>
      <w:bookmarkStart w:id="5" w:name="_GoBack"/>
      <w:bookmarkEnd w:id="5"/>
    </w:p>
    <w:p w14:paraId="4BD63355">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★1.人员数量</w:t>
      </w:r>
    </w:p>
    <w:p w14:paraId="2C60A3C7">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服务机构应为街综合养老服务中心（颐康中心）</w:t>
      </w:r>
      <w:r>
        <w:rPr>
          <w:rFonts w:hint="eastAsia" w:ascii="Times New Roman" w:hAnsi="Times New Roman" w:eastAsia="仿宋_GB2312" w:cs="仿宋_GB2312"/>
          <w:color w:val="auto"/>
          <w:sz w:val="32"/>
          <w:szCs w:val="32"/>
          <w:lang w:eastAsia="zh-CN"/>
        </w:rPr>
        <w:t>至少配备</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eastAsia="zh-CN"/>
        </w:rPr>
        <w:t>名全职工作人员</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包含</w:t>
      </w:r>
      <w:r>
        <w:rPr>
          <w:rFonts w:hint="eastAsia" w:ascii="Times New Roman" w:hAnsi="Times New Roman" w:eastAsia="仿宋_GB2312" w:cs="仿宋_GB2312"/>
          <w:color w:val="auto"/>
          <w:sz w:val="32"/>
          <w:szCs w:val="32"/>
          <w:lang w:val="en-US" w:eastAsia="zh-CN"/>
        </w:rPr>
        <w:t>1名</w:t>
      </w:r>
      <w:r>
        <w:rPr>
          <w:rFonts w:hint="eastAsia" w:ascii="Times New Roman" w:hAnsi="Times New Roman" w:eastAsia="仿宋_GB2312" w:cs="仿宋_GB2312"/>
          <w:color w:val="auto"/>
          <w:sz w:val="32"/>
          <w:szCs w:val="32"/>
          <w:lang w:eastAsia="zh-CN"/>
        </w:rPr>
        <w:t>项目负责人</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不少于</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名专业社工和1名康复治疗师），全职人员须占人员总数70%以上。每个颐康站至少配备1名全职或兼职的导向员。服务机构承诺在服务期内必须保证投入的工作人员数量不能减少，服务期中如有人事变动问题，必须保证能达到投标时承诺投入的人员。</w:t>
      </w:r>
    </w:p>
    <w:p w14:paraId="65242171">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2.人员资质</w:t>
      </w:r>
    </w:p>
    <w:p w14:paraId="36895BCE">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应当配备与服务和运营相适应且具备相应从业资格的养老护理员、医师、护士、康复治疗师、社工等人员。其中:</w:t>
      </w:r>
    </w:p>
    <w:p w14:paraId="60A0C0FA">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①提供医养康养、康复护理类服务的，应当配备执业医生、执业护士、康复治疗师等专业人员；</w:t>
      </w:r>
    </w:p>
    <w:p w14:paraId="68BC35E7">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②提供助餐配餐服务的，从事接触直接入口食品工作的食品生产经营人员100%持有有效健康证；</w:t>
      </w:r>
    </w:p>
    <w:p w14:paraId="0D919944">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③养老服务向导应当经民政部门培训后上岗；</w:t>
      </w:r>
    </w:p>
    <w:p w14:paraId="35A6FDF3">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④养老护理员持证率100%；</w:t>
      </w:r>
    </w:p>
    <w:p w14:paraId="3D18183A">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⑤由具有财会专业教育背景或持有财会职业资格证书的财务人员管理财务。</w:t>
      </w:r>
    </w:p>
    <w:p w14:paraId="1FF40CE2">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新员工上岗前需接受不少于10学时的岗前培训并进行培训考核，服务人员每年在岗培训时间不少于12</w:t>
      </w:r>
      <w:r>
        <w:rPr>
          <w:rFonts w:hint="eastAsia" w:ascii="Times New Roman" w:hAnsi="Times New Roman" w:eastAsia="仿宋_GB2312" w:cs="仿宋_GB2312"/>
          <w:color w:val="auto"/>
          <w:sz w:val="32"/>
          <w:szCs w:val="32"/>
          <w:lang w:eastAsia="zh-CN"/>
        </w:rPr>
        <w:t>学</w:t>
      </w:r>
      <w:r>
        <w:rPr>
          <w:rFonts w:hint="eastAsia" w:ascii="Times New Roman" w:hAnsi="Times New Roman" w:eastAsia="仿宋_GB2312" w:cs="仿宋_GB2312"/>
          <w:color w:val="auto"/>
          <w:sz w:val="32"/>
          <w:szCs w:val="32"/>
        </w:rPr>
        <w:t>时。</w:t>
      </w:r>
    </w:p>
    <w:p w14:paraId="24D1D0E7">
      <w:pPr>
        <w:pStyle w:val="8"/>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所有工作人员应当严格遵守本机构规章制度以及相关法律法规、职业操守、职业道德等，尊重服务对象，运用专业知识和技巧开展服务。</w:t>
      </w:r>
    </w:p>
    <w:p w14:paraId="2A1A0D6A">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四、保密要求</w:t>
      </w:r>
    </w:p>
    <w:p w14:paraId="428FB244">
      <w:pPr>
        <w:pStyle w:val="8"/>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服务机构须对本项目涉及服务对象的个人相关信息进行保密，未经服务对象或其法定监护人书面许可，不得对外披露，不得以任何形式提供给第三方，不得在参与本项目工作之外使用这些保密信息。</w:t>
      </w:r>
    </w:p>
    <w:p w14:paraId="3F95559A">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服务机构在本项目终止后不得保留以任何形式存储的服务对象的任何信息数据，不得利用该项目的信息数据为其他的单位（包括自办单位）或项目服务。</w:t>
      </w:r>
    </w:p>
    <w:p w14:paraId="17F468C0">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五、服务评估</w:t>
      </w:r>
    </w:p>
    <w:p w14:paraId="3575397F">
      <w:pPr>
        <w:pStyle w:val="8"/>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双方合同签订之日起，服务机构每运营满1年需向街道提交自评报告，由街道向区居家养老服务指导中心申请服务评估。对承接的服务项目评估定级不合格的服务机构，由区居家养老服务指导中心督促整改，整改后仍不合格的服务机构，由街道中止其政府购买服务合同或服务委托协议，服务机构在2年内不得参与我市政府购买社区居家养老服务项目招投标。</w:t>
      </w:r>
    </w:p>
    <w:p w14:paraId="46BC3A47">
      <w:pPr>
        <w:pStyle w:val="8"/>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六、其他要求</w:t>
      </w:r>
    </w:p>
    <w:p w14:paraId="075922B3">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★（一）服务期间如市、区相关政策调整，重点服务对象人数、标准发生变化，中标人必须无条件接受，并严格按</w:t>
      </w:r>
      <w:r>
        <w:rPr>
          <w:rFonts w:hint="eastAsia" w:ascii="Times New Roman" w:hAnsi="Times New Roman" w:eastAsia="仿宋_GB2312" w:cs="仿宋_GB2312"/>
          <w:color w:val="auto"/>
          <w:sz w:val="32"/>
          <w:szCs w:val="32"/>
          <w:lang w:val="en-US" w:eastAsia="zh-CN"/>
        </w:rPr>
        <w:t>上级</w:t>
      </w:r>
      <w:r>
        <w:rPr>
          <w:rFonts w:hint="eastAsia" w:ascii="Times New Roman" w:hAnsi="Times New Roman" w:eastAsia="仿宋_GB2312" w:cs="仿宋_GB2312"/>
          <w:color w:val="auto"/>
          <w:sz w:val="32"/>
          <w:szCs w:val="32"/>
        </w:rPr>
        <w:t xml:space="preserve">要求执行。（需提供相关承诺函作为证明材料） </w:t>
      </w:r>
    </w:p>
    <w:p w14:paraId="40CA090E">
      <w:pPr>
        <w:pStyle w:val="8"/>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服务期间如中标人在年度内的服务质量评估不合格的，采购人有权解除合同并不向中标人作任何赔偿或补偿。在解除合同至采购人确定接替的社区居家养老服务机构正式履行合同前，中标人仍要为原服务对象提供合同约定的服务，费用按实际人数及服务时间进行结算。合同履行完毕或解除合同后，中标人应与接替的居家养老服务机构做好服务内容、相关档案等的交接工作。</w:t>
      </w:r>
    </w:p>
    <w:p w14:paraId="66DE8A6B">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（三）服务房屋改造方案需先报采购方审核，经采购方同意方可实施。</w:t>
      </w:r>
    </w:p>
    <w:p w14:paraId="49D41BAC">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（四）中标人不得利用平台以产品展示的方式向服务对象推销所谓的保健食品或者保健器材等，如经发现中标人情况严重，采购人可立即取消合同并按相关法律追究法律责任。</w:t>
      </w:r>
    </w:p>
    <w:p w14:paraId="74E1B4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（五）中标人应保证服务的对象的个人信息的安全性，不得将资料外泄给第三方或用于其他商业用途，如发现泄密导致严重后果的，采购人可取消合同并按法律追究相</w:t>
      </w:r>
      <w:r>
        <w:rPr>
          <w:rFonts w:hint="eastAsia" w:ascii="Times New Roman" w:hAnsi="Times New Roman" w:eastAsia="仿宋_GB2312" w:cs="仿宋_GB2312"/>
          <w:sz w:val="32"/>
          <w:szCs w:val="32"/>
        </w:rPr>
        <w:t>应法律责任。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F4768"/>
    <w:multiLevelType w:val="multilevel"/>
    <w:tmpl w:val="0DEF4768"/>
    <w:lvl w:ilvl="0" w:tentative="0">
      <w:start w:val="1"/>
      <w:numFmt w:val="none"/>
      <w:suff w:val="nothing"/>
      <w:lvlText w:val="5"/>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5.%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7"/>
      <w:numFmt w:val="none"/>
      <w:suff w:val="nothing"/>
      <w:lvlText w:val="%37.2.2　"/>
      <w:lvlJc w:val="left"/>
      <w:pPr>
        <w:ind w:left="0" w:firstLine="0"/>
      </w:pPr>
      <w:rPr>
        <w:rFonts w:hint="eastAsia" w:ascii="黑体" w:hAnsi="Times New Roman" w:eastAsia="黑体"/>
        <w:b w:val="0"/>
        <w:i w:val="0"/>
        <w:sz w:val="21"/>
      </w:rPr>
    </w:lvl>
    <w:lvl w:ilvl="3" w:tentative="0">
      <w:start w:val="1"/>
      <w:numFmt w:val="decimal"/>
      <w:suff w:val="nothing"/>
      <w:lvlText w:val="%17.%2.1.%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905ED"/>
    <w:rsid w:val="01C414B3"/>
    <w:rsid w:val="021D2327"/>
    <w:rsid w:val="023063FA"/>
    <w:rsid w:val="06E326BF"/>
    <w:rsid w:val="070121B9"/>
    <w:rsid w:val="087A397A"/>
    <w:rsid w:val="08B905ED"/>
    <w:rsid w:val="0A03752B"/>
    <w:rsid w:val="0A293F33"/>
    <w:rsid w:val="0A7D53C7"/>
    <w:rsid w:val="0AAA1617"/>
    <w:rsid w:val="0C0C1CF2"/>
    <w:rsid w:val="0C1069CD"/>
    <w:rsid w:val="0DDA7292"/>
    <w:rsid w:val="10FE00B6"/>
    <w:rsid w:val="118655E5"/>
    <w:rsid w:val="13070B2A"/>
    <w:rsid w:val="143E4655"/>
    <w:rsid w:val="159224CF"/>
    <w:rsid w:val="17DB4333"/>
    <w:rsid w:val="1881312C"/>
    <w:rsid w:val="18963EA4"/>
    <w:rsid w:val="18E63C89"/>
    <w:rsid w:val="191F7A9B"/>
    <w:rsid w:val="1ADF0DD3"/>
    <w:rsid w:val="1AEF185A"/>
    <w:rsid w:val="1B140647"/>
    <w:rsid w:val="1B4D5304"/>
    <w:rsid w:val="1B520DB0"/>
    <w:rsid w:val="1C47468D"/>
    <w:rsid w:val="1CA83640"/>
    <w:rsid w:val="1FD60202"/>
    <w:rsid w:val="215D5409"/>
    <w:rsid w:val="217F486E"/>
    <w:rsid w:val="22940380"/>
    <w:rsid w:val="22EA05C1"/>
    <w:rsid w:val="2318643B"/>
    <w:rsid w:val="233E43F8"/>
    <w:rsid w:val="26E74AA2"/>
    <w:rsid w:val="27FA6A57"/>
    <w:rsid w:val="28D948BF"/>
    <w:rsid w:val="29417721"/>
    <w:rsid w:val="29944C8D"/>
    <w:rsid w:val="29AC7D37"/>
    <w:rsid w:val="29B81C08"/>
    <w:rsid w:val="29EF0399"/>
    <w:rsid w:val="2A306574"/>
    <w:rsid w:val="2D726392"/>
    <w:rsid w:val="2DB17DF1"/>
    <w:rsid w:val="2EC67D1D"/>
    <w:rsid w:val="2F57301D"/>
    <w:rsid w:val="302E708A"/>
    <w:rsid w:val="31F6203D"/>
    <w:rsid w:val="33380434"/>
    <w:rsid w:val="35150A2C"/>
    <w:rsid w:val="35151F77"/>
    <w:rsid w:val="36394BEF"/>
    <w:rsid w:val="36460D6C"/>
    <w:rsid w:val="37227622"/>
    <w:rsid w:val="38DB20AB"/>
    <w:rsid w:val="391A6BCE"/>
    <w:rsid w:val="391F25DB"/>
    <w:rsid w:val="399529DA"/>
    <w:rsid w:val="3AC70C49"/>
    <w:rsid w:val="3B8C57C0"/>
    <w:rsid w:val="3D8449A1"/>
    <w:rsid w:val="3E6622F9"/>
    <w:rsid w:val="3F4A1C1A"/>
    <w:rsid w:val="3F9E7C07"/>
    <w:rsid w:val="407C22A8"/>
    <w:rsid w:val="41105572"/>
    <w:rsid w:val="413B181B"/>
    <w:rsid w:val="429B5B34"/>
    <w:rsid w:val="444C32CB"/>
    <w:rsid w:val="45D5445D"/>
    <w:rsid w:val="46CA30C0"/>
    <w:rsid w:val="470D4E9F"/>
    <w:rsid w:val="48621C78"/>
    <w:rsid w:val="48F350D1"/>
    <w:rsid w:val="498271EB"/>
    <w:rsid w:val="499E503D"/>
    <w:rsid w:val="4A577EFB"/>
    <w:rsid w:val="4AC11DE8"/>
    <w:rsid w:val="4B2B2C5F"/>
    <w:rsid w:val="4C194B81"/>
    <w:rsid w:val="4C5816D0"/>
    <w:rsid w:val="4C8B2404"/>
    <w:rsid w:val="4D3C17A9"/>
    <w:rsid w:val="4E04673D"/>
    <w:rsid w:val="4F2F6737"/>
    <w:rsid w:val="4F764693"/>
    <w:rsid w:val="51671517"/>
    <w:rsid w:val="52FE6B4C"/>
    <w:rsid w:val="5404350A"/>
    <w:rsid w:val="54D23DEC"/>
    <w:rsid w:val="593860F9"/>
    <w:rsid w:val="59AF17E1"/>
    <w:rsid w:val="5AF93670"/>
    <w:rsid w:val="5B44356A"/>
    <w:rsid w:val="5CA506E3"/>
    <w:rsid w:val="5D1A0A85"/>
    <w:rsid w:val="5E2E0CB5"/>
    <w:rsid w:val="608E09E7"/>
    <w:rsid w:val="61932B55"/>
    <w:rsid w:val="62691AE8"/>
    <w:rsid w:val="655D24A9"/>
    <w:rsid w:val="65AA2E49"/>
    <w:rsid w:val="65B2072A"/>
    <w:rsid w:val="672C0094"/>
    <w:rsid w:val="6738487D"/>
    <w:rsid w:val="68AC2FF7"/>
    <w:rsid w:val="68BD661C"/>
    <w:rsid w:val="6A3D3D1F"/>
    <w:rsid w:val="6A765DE0"/>
    <w:rsid w:val="6A9F256B"/>
    <w:rsid w:val="6B0C5E52"/>
    <w:rsid w:val="6BFE4E6D"/>
    <w:rsid w:val="6D321B16"/>
    <w:rsid w:val="6E2D0676"/>
    <w:rsid w:val="6F4B0C30"/>
    <w:rsid w:val="706662F6"/>
    <w:rsid w:val="71685DAD"/>
    <w:rsid w:val="71D15351"/>
    <w:rsid w:val="73FE0306"/>
    <w:rsid w:val="74145D78"/>
    <w:rsid w:val="7491561A"/>
    <w:rsid w:val="751F0F9E"/>
    <w:rsid w:val="75986535"/>
    <w:rsid w:val="77C41863"/>
    <w:rsid w:val="780A196C"/>
    <w:rsid w:val="787F5957"/>
    <w:rsid w:val="78F52C84"/>
    <w:rsid w:val="798669E5"/>
    <w:rsid w:val="7CA01288"/>
    <w:rsid w:val="7DF415C4"/>
    <w:rsid w:val="7E40782A"/>
    <w:rsid w:val="7E75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toc 2"/>
    <w:basedOn w:val="1"/>
    <w:next w:val="1"/>
    <w:qFormat/>
    <w:uiPriority w:val="0"/>
    <w:pPr>
      <w:spacing w:before="120" w:after="120"/>
      <w:ind w:left="420" w:left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 New"/>
    <w:qFormat/>
    <w:uiPriority w:val="0"/>
    <w:pPr>
      <w:widowControl w:val="0"/>
      <w:jc w:val="both"/>
    </w:pPr>
    <w:rPr>
      <w:rFonts w:ascii="Calibri" w:hAnsi="Calibri" w:eastAsia="宋体" w:cs="黑体"/>
      <w:kern w:val="2"/>
      <w:sz w:val="21"/>
      <w:szCs w:val="21"/>
      <w:lang w:val="en-US" w:eastAsia="zh-CN" w:bidi="ar-SA"/>
    </w:rPr>
  </w:style>
  <w:style w:type="paragraph" w:customStyle="1" w:styleId="10">
    <w:name w:val="段"/>
    <w:basedOn w:val="9"/>
    <w:qFormat/>
    <w:uiPriority w:val="0"/>
    <w:pPr>
      <w:widowControl/>
      <w:tabs>
        <w:tab w:val="center" w:pos="4201"/>
        <w:tab w:val="right" w:leader="dot" w:pos="9298"/>
      </w:tabs>
      <w:ind w:firstLine="420" w:firstLineChars="200"/>
    </w:pPr>
    <w:rPr>
      <w:kern w:val="24"/>
      <w:sz w:val="20"/>
      <w:szCs w:val="32"/>
    </w:rPr>
  </w:style>
  <w:style w:type="paragraph" w:customStyle="1" w:styleId="11">
    <w:name w:val="一级条标题"/>
    <w:next w:val="10"/>
    <w:qFormat/>
    <w:uiPriority w:val="99"/>
    <w:pPr>
      <w:numPr>
        <w:ilvl w:val="1"/>
        <w:numId w:val="1"/>
      </w:numPr>
      <w:spacing w:beforeLines="50" w:afterLines="50"/>
      <w:outlineLvl w:val="2"/>
    </w:pPr>
    <w:rPr>
      <w:rFonts w:ascii="黑体" w:hAnsi="Times New Roman" w:eastAsia="黑体" w:cs="黑体"/>
      <w:sz w:val="21"/>
      <w:szCs w:val="21"/>
      <w:lang w:val="en-US" w:eastAsia="zh-CN" w:bidi="ar-SA"/>
    </w:rPr>
  </w:style>
  <w:style w:type="character" w:customStyle="1" w:styleId="12">
    <w:name w:val="font21"/>
    <w:qFormat/>
    <w:uiPriority w:val="0"/>
    <w:rPr>
      <w:rFonts w:ascii="font-weight : 400" w:hAnsi="font-weight : 400" w:eastAsia="font-weight : 400" w:cs="font-weight : 400"/>
      <w:color w:val="000000"/>
      <w:sz w:val="20"/>
      <w:szCs w:val="20"/>
      <w:u w:val="none"/>
    </w:rPr>
  </w:style>
  <w:style w:type="character" w:customStyle="1" w:styleId="13">
    <w:name w:val="font11"/>
    <w:qFormat/>
    <w:uiPriority w:val="0"/>
    <w:rPr>
      <w:rFonts w:hint="default" w:ascii="font-weight : 400" w:hAnsi="font-weight : 400" w:eastAsia="font-weight : 400" w:cs="font-weight : 400"/>
      <w:color w:val="FF0000"/>
      <w:sz w:val="20"/>
      <w:szCs w:val="20"/>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5070</Words>
  <Characters>5213</Characters>
  <Lines>0</Lines>
  <Paragraphs>0</Paragraphs>
  <TotalTime>0</TotalTime>
  <ScaleCrop>false</ScaleCrop>
  <LinksUpToDate>false</LinksUpToDate>
  <CharactersWithSpaces>5230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2023-09-14T08:53:00Z</dcterms:created>
  <dc:creator>hejn</dc:creator>
  <cp:lastModifiedBy>poly</cp:lastModifiedBy>
  <cp:lastPrinted>2024-11-14T01:57:00Z</cp:lastPrinted>
  <dcterms:modified xsi:type="dcterms:W3CDTF">2025-02-12T10:14:37Z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81D0154830894BF1A19CF042BECC1B30_12</vt:lpwstr>
  </property>
  <property fmtid="{D5CDD505-2E9C-101B-9397-08002B2CF9AE}" pid="4" name="KSOTemplateDocerSaveRecord">
    <vt:lpwstr>eyJoZGlkIjoiYWMwZDZlMjIwZGY4YzFjOTI1ZDNkYzFkZjgxZmI3YmIiLCJ1c2VySWQiOiIyODE0MTc0NjMifQ==</vt:lpwstr>
  </property>
</Properties>
</file>