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19" w:rsidRDefault="00ED5E19" w:rsidP="00ED5E19">
      <w:pPr>
        <w:pStyle w:val="p0"/>
        <w:spacing w:line="600" w:lineRule="atLeast"/>
        <w:jc w:val="center"/>
        <w:rPr>
          <w:rFonts w:ascii="方正小标宋简体" w:eastAsia="方正小标宋简体"/>
          <w:sz w:val="52"/>
          <w:szCs w:val="52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方正小标宋简体" w:eastAsia="方正小标宋简体" w:hint="eastAsia"/>
          <w:sz w:val="52"/>
          <w:szCs w:val="52"/>
        </w:rPr>
      </w:pPr>
    </w:p>
    <w:p w:rsidR="00ED5E19" w:rsidRDefault="00ED5E19" w:rsidP="00ED5E19">
      <w:pPr>
        <w:pStyle w:val="p0"/>
        <w:spacing w:line="700" w:lineRule="atLeast"/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广州市越秀区食品药品监督管理局</w:t>
      </w:r>
    </w:p>
    <w:p w:rsidR="00ED5E19" w:rsidRDefault="00ED5E19" w:rsidP="00ED5E19">
      <w:pPr>
        <w:pStyle w:val="p0"/>
        <w:spacing w:line="700" w:lineRule="atLeast"/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2018年政府信息公开工作年度报告</w:t>
      </w: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黑体" w:eastAsia="黑体" w:hAnsi="黑体" w:hint="eastAsia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广州市越秀区食品药品监督管理局</w:t>
      </w:r>
    </w:p>
    <w:p w:rsidR="00ED5E19" w:rsidRDefault="00ED5E19" w:rsidP="00ED5E19">
      <w:pPr>
        <w:pStyle w:val="p0"/>
        <w:spacing w:line="6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ED5E19" w:rsidRDefault="00ED5E19" w:rsidP="00ED5E19">
      <w:pPr>
        <w:pStyle w:val="p0"/>
        <w:spacing w:line="7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广州市越秀区食品药品监督管理局</w:t>
      </w:r>
      <w:r>
        <w:rPr>
          <w:rFonts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:rsidR="00ED5E19" w:rsidRDefault="00ED5E19" w:rsidP="00ED5E19">
      <w:pPr>
        <w:pStyle w:val="p0"/>
        <w:spacing w:line="7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ED5E19" w:rsidRDefault="00ED5E19" w:rsidP="00ED5E19">
      <w:pPr>
        <w:pStyle w:val="p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D5E19" w:rsidRDefault="00ED5E19" w:rsidP="00ED5E19">
      <w:pPr>
        <w:pStyle w:val="p0"/>
        <w:spacing w:line="6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广州市越秀区食品药品监督管理局</w:t>
      </w:r>
    </w:p>
    <w:p w:rsidR="00ED5E19" w:rsidRDefault="00ED5E19" w:rsidP="00ED5E19">
      <w:pPr>
        <w:pStyle w:val="p0"/>
        <w:spacing w:line="6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ED5E19" w:rsidRDefault="00ED5E19" w:rsidP="00ED5E19">
      <w:pPr>
        <w:pStyle w:val="p0"/>
        <w:spacing w:line="6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ED5E19" w:rsidRDefault="00ED5E19" w:rsidP="00ED5E19">
      <w:pPr>
        <w:pStyle w:val="p0"/>
        <w:wordWrap w:val="0"/>
        <w:spacing w:line="60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《中华人民共和国政府信息公开条例》的规定，现公布广州市越秀区食品药品监督管理局信息公开年度报告。本报告由概述，主动公开政府信息情况、依申请公开政府信息情况、政府信息公开相关收费情况、申请行政复议和提起行政诉讼情况、存在问题和改进措施组成。本报告的电子版可在越秀区市场监督管理局网页（</w:t>
      </w:r>
      <w:r>
        <w:rPr>
          <w:rFonts w:eastAsia="仿宋_GB2312" w:hint="eastAsia"/>
          <w:sz w:val="32"/>
          <w:szCs w:val="32"/>
        </w:rPr>
        <w:t>http://www.yuexiu.gov.cn/yxxxw/pc/zwgk/xxgk_ml/qzfbm/yx56/xxgkzn56/index.shtml</w:t>
      </w:r>
      <w:r>
        <w:rPr>
          <w:rFonts w:ascii="仿宋_GB2312" w:eastAsia="仿宋_GB2312" w:hint="eastAsia"/>
          <w:sz w:val="32"/>
          <w:szCs w:val="32"/>
        </w:rPr>
        <w:t>）下载。对本报告如有任何疑问，请与越秀区市场监督管理局政务公开工作办公室联系（地址：广州市越秀区解放北路</w:t>
      </w:r>
      <w:r>
        <w:rPr>
          <w:rFonts w:eastAsia="仿宋_GB2312" w:hint="eastAsia"/>
          <w:sz w:val="32"/>
          <w:szCs w:val="32"/>
        </w:rPr>
        <w:t>813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322</w:t>
      </w:r>
      <w:r>
        <w:rPr>
          <w:rFonts w:ascii="仿宋_GB2312" w:eastAsia="仿宋_GB2312" w:hint="eastAsia"/>
          <w:sz w:val="32"/>
          <w:szCs w:val="32"/>
        </w:rPr>
        <w:t>办公室；邮编：</w:t>
      </w:r>
      <w:r>
        <w:rPr>
          <w:rFonts w:eastAsia="仿宋_GB2312" w:hint="eastAsia"/>
          <w:sz w:val="32"/>
          <w:szCs w:val="32"/>
        </w:rPr>
        <w:t>510040</w:t>
      </w:r>
      <w:r>
        <w:rPr>
          <w:rFonts w:ascii="仿宋_GB2312" w:eastAsia="仿宋_GB2312" w:hint="eastAsia"/>
          <w:sz w:val="32"/>
          <w:szCs w:val="32"/>
        </w:rPr>
        <w:t>；联系电话：</w:t>
      </w:r>
      <w:r>
        <w:rPr>
          <w:rFonts w:eastAsia="仿宋_GB2312" w:hint="eastAsia"/>
          <w:sz w:val="32"/>
          <w:szCs w:val="32"/>
        </w:rPr>
        <w:t>020-83546662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一、概述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2018年，我局按照越秀区政府对政府信息公开工作的部署要求，结合食品药品监督管理日常工作，坚持依法、便民、高效的原则，进一步深化政府信息公开工作。</w:t>
      </w:r>
    </w:p>
    <w:p w:rsidR="00ED5E19" w:rsidRDefault="00ED5E19" w:rsidP="00ED5E19">
      <w:pPr>
        <w:pStyle w:val="p18"/>
        <w:spacing w:line="600" w:lineRule="atLeast"/>
        <w:rPr>
          <w:rFonts w:hint="eastAsia"/>
        </w:rPr>
      </w:pPr>
      <w:r>
        <w:rPr>
          <w:rFonts w:hint="eastAsia"/>
        </w:rPr>
        <w:lastRenderedPageBreak/>
        <w:t xml:space="preserve">  一是围绕建设法治政府全面推进政务公开。成立局政务公开领导小组，由局办公室负责具体日常工作，形成一把手亲自抓，分管领导具体抓的工作格局。严格落实信息公开保密审查制度，遵循“未经保密审查的信息不得公开、未经解密并准予公开的信息不得公开、与保密界限不清的信息不得公开”的原则，规范信息公开行为，确保国家秘密信息安全。</w:t>
      </w:r>
    </w:p>
    <w:p w:rsidR="00ED5E19" w:rsidRDefault="00ED5E19" w:rsidP="00ED5E19">
      <w:pPr>
        <w:pStyle w:val="p18"/>
        <w:spacing w:line="600" w:lineRule="atLeast"/>
        <w:rPr>
          <w:rFonts w:hint="eastAsia"/>
        </w:rPr>
      </w:pPr>
      <w:r>
        <w:rPr>
          <w:rFonts w:hint="eastAsia"/>
        </w:rPr>
        <w:t xml:space="preserve">  二是围绕重点领域加大主动公开力度。高度重视信息公开的内容和更新的实效性，安排专人负责跟进局信息公开网站的维护管理和审核、编辑工作，明确要求信息公开的形式要多样、公开内容要充实、公开范围要准确、公开时间要及时、公开重点要突出，有效地实现了政府信息公开的便民利民的服务功能。</w:t>
      </w:r>
    </w:p>
    <w:p w:rsidR="00ED5E19" w:rsidRDefault="00ED5E19" w:rsidP="00ED5E19">
      <w:pPr>
        <w:pStyle w:val="p18"/>
        <w:spacing w:line="600" w:lineRule="atLeast"/>
        <w:rPr>
          <w:rFonts w:hint="eastAsia"/>
        </w:rPr>
      </w:pPr>
      <w:r>
        <w:rPr>
          <w:rFonts w:hint="eastAsia"/>
        </w:rPr>
        <w:t xml:space="preserve">  三是建议提案办理结果公开情况。今年我局承办区人大代表议案建议和政协提案</w:t>
      </w:r>
      <w:r>
        <w:rPr>
          <w:rFonts w:ascii="Times New Roman" w:hAnsi="Times New Roman" w:cs="Times New Roman" w:hint="eastAsia"/>
        </w:rPr>
        <w:t>15</w:t>
      </w:r>
      <w:r>
        <w:rPr>
          <w:rFonts w:hint="eastAsia"/>
        </w:rPr>
        <w:t>件，包括区人大代表议案（含议案转建议）</w:t>
      </w:r>
      <w:r>
        <w:rPr>
          <w:rFonts w:ascii="Times New Roman" w:hAnsi="Times New Roman" w:cs="Times New Roman" w:hint="eastAsia"/>
        </w:rPr>
        <w:t>3</w:t>
      </w:r>
      <w:r>
        <w:rPr>
          <w:rFonts w:hint="eastAsia"/>
        </w:rPr>
        <w:t>件、区人大代表建议</w:t>
      </w:r>
      <w:r>
        <w:rPr>
          <w:rFonts w:ascii="Times New Roman" w:hAnsi="Times New Roman" w:cs="Times New Roman" w:hint="eastAsia"/>
        </w:rPr>
        <w:t>2</w:t>
      </w:r>
      <w:r>
        <w:rPr>
          <w:rFonts w:hint="eastAsia"/>
        </w:rPr>
        <w:t>件、区政协提案</w:t>
      </w:r>
      <w:r>
        <w:rPr>
          <w:rFonts w:ascii="Times New Roman" w:hAnsi="Times New Roman" w:cs="Times New Roman" w:hint="eastAsia"/>
        </w:rPr>
        <w:t>10</w:t>
      </w:r>
      <w:r>
        <w:rPr>
          <w:rFonts w:hint="eastAsia"/>
        </w:rPr>
        <w:t>件，其中主办</w:t>
      </w:r>
      <w:r>
        <w:rPr>
          <w:rFonts w:ascii="Times New Roman" w:hAnsi="Times New Roman" w:cs="Times New Roman" w:hint="eastAsia"/>
        </w:rPr>
        <w:t>2</w:t>
      </w:r>
      <w:r>
        <w:rPr>
          <w:rFonts w:hint="eastAsia"/>
        </w:rPr>
        <w:t>件，协办、会办</w:t>
      </w:r>
      <w:r>
        <w:rPr>
          <w:rFonts w:ascii="Times New Roman" w:hAnsi="Times New Roman" w:cs="Times New Roman" w:hint="eastAsia"/>
        </w:rPr>
        <w:t>1</w:t>
      </w:r>
      <w:r>
        <w:rPr>
          <w:rFonts w:hint="eastAsia"/>
        </w:rPr>
        <w:t>3件，均为免予公开件。</w:t>
      </w: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二、主动公开政府信息情况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2018年，我局主动公开政府信息476条，其中：</w:t>
      </w:r>
      <w:r>
        <w:rPr>
          <w:rFonts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组织机构类信息2条；</w:t>
      </w:r>
      <w:r>
        <w:rPr>
          <w:rFonts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部门文件类（包括规章、规范性文件等）信息5条；</w:t>
      </w:r>
      <w:r>
        <w:rPr>
          <w:rFonts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动态类信息268条；</w:t>
      </w:r>
      <w:r>
        <w:rPr>
          <w:rFonts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行政执法类12条；</w:t>
      </w:r>
      <w:r>
        <w:rPr>
          <w:rFonts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办事指南类信息0条；</w:t>
      </w:r>
      <w:r>
        <w:rPr>
          <w:rFonts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财政预决算信息9条；</w:t>
      </w:r>
      <w:r>
        <w:rPr>
          <w:rFonts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其他信息180</w:t>
      </w:r>
      <w:r>
        <w:rPr>
          <w:rFonts w:ascii="仿宋_GB2312" w:eastAsia="仿宋_GB2312" w:hint="eastAsia"/>
          <w:sz w:val="32"/>
          <w:szCs w:val="32"/>
        </w:rPr>
        <w:lastRenderedPageBreak/>
        <w:t>条。通过不同渠道和方式公布政府信息情况：通过政府网站发布信息476条，通过微博微信发布信息159条。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主动公开的信息中，为方便公众了解信息，本局最常用的形式是在区信息网站发布。在便民服务上，本局对政府信息进行了梳理和编目，对本局的机构职能、部门文件、行政执法、政务动态、规划计划等政务信息主动在区信息网站公布。</w:t>
      </w: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三、依申请公开政府信息情况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</w:t>
      </w:r>
      <w:r>
        <w:rPr>
          <w:rFonts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年共收到信息公开申请107件，其中：网上申请84件，信函申请17件，当面递交申请6件；来自公民的申请105件，来自法人的申请2件。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我局共受理并答复信息公开申请107件。在答复的信息公开申请中，“同意公开”的31件；“同意部分公开”54件；申请信息不存在的15件；申请内容不明确的1件；不属于本机关公开的2件；其他4件。</w:t>
      </w:r>
    </w:p>
    <w:p w:rsidR="00ED5E19" w:rsidRDefault="00ED5E19" w:rsidP="00ED5E19">
      <w:pPr>
        <w:pStyle w:val="p0"/>
        <w:spacing w:line="600" w:lineRule="atLeast"/>
        <w:rPr>
          <w:rFonts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四、政府信息公开收费情况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根据国家部委有关规定，自</w:t>
      </w:r>
      <w:r>
        <w:rPr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年</w:t>
      </w:r>
      <w:r>
        <w:rPr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日起，越秀区</w:t>
      </w:r>
      <w:r>
        <w:rPr>
          <w:rFonts w:ascii="仿宋_GB2312" w:eastAsia="仿宋_GB2312" w:hint="eastAsia"/>
          <w:sz w:val="32"/>
          <w:szCs w:val="32"/>
        </w:rPr>
        <w:t>食品药品监督管理局</w:t>
      </w:r>
      <w:r>
        <w:rPr>
          <w:sz w:val="32"/>
          <w:szCs w:val="32"/>
        </w:rPr>
        <w:t>依申请公开不收取费用（包括检索费、复制费、邮寄费等）。</w:t>
      </w: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五、因信息公开引起的行政复议和行政诉讼情况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2018年，针对我局有关政府信息公开事务的行政复议案件0宗，其中撤销答复重新作出处理0宗。</w:t>
      </w:r>
    </w:p>
    <w:p w:rsidR="00ED5E19" w:rsidRDefault="00ED5E19" w:rsidP="00ED5E19">
      <w:pPr>
        <w:pStyle w:val="p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六、存在的主要问题和改进措施</w:t>
      </w:r>
    </w:p>
    <w:p w:rsidR="00ED5E19" w:rsidRDefault="00ED5E19" w:rsidP="00ED5E19">
      <w:pPr>
        <w:pStyle w:val="p0"/>
        <w:spacing w:line="600" w:lineRule="atLeas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在区委、区政府的领导和区政务公开工作部门的指导下，我局政府信息公开工作取得了一定的成效，但也存在一些不足：如对政务信息公开知识的宣传培训不够到位，政府信息公开形式和渠道需要进一步创新。             </w:t>
      </w:r>
    </w:p>
    <w:p w:rsidR="00ED5E19" w:rsidRDefault="00ED5E19" w:rsidP="00ED5E19">
      <w:pPr>
        <w:pStyle w:val="p0"/>
        <w:spacing w:line="600" w:lineRule="atLeast"/>
        <w:ind w:firstLine="640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2019年，我局将严格按照越秀区政府信息公开工作的要求，依法做好政府信息公开各项工作。</w:t>
      </w:r>
    </w:p>
    <w:p w:rsidR="00ED5E19" w:rsidRDefault="00ED5E19" w:rsidP="00ED5E19">
      <w:pPr>
        <w:pStyle w:val="p0"/>
        <w:spacing w:line="60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>（一）充实政府信息公开的内容。</w:t>
      </w:r>
      <w:r>
        <w:rPr>
          <w:rFonts w:ascii="仿宋_GB2312" w:eastAsia="仿宋_GB2312" w:hint="eastAsia"/>
          <w:sz w:val="32"/>
          <w:szCs w:val="32"/>
        </w:rPr>
        <w:t>按照上级有关政府信息公开工作最新规定，全面梳理应主动公开事项，充分利用越秀区信息网、电子触摸屏、公告栏、各监管所宣传栏等载体，及时发布、更新和撤销主动公开政府信息，并从方便群众查阅和获取信息的角度优化政府信息公开栏目设置。</w:t>
      </w:r>
    </w:p>
    <w:p w:rsidR="00ED5E19" w:rsidRDefault="00ED5E19" w:rsidP="00ED5E19">
      <w:pPr>
        <w:pStyle w:val="p0"/>
        <w:spacing w:line="600" w:lineRule="atLeast"/>
        <w:ind w:firstLine="62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>（二）做好依申请政府信息公开工作。</w:t>
      </w:r>
      <w:r>
        <w:rPr>
          <w:rFonts w:ascii="仿宋_GB2312" w:eastAsia="仿宋_GB2312" w:hint="eastAsia"/>
          <w:sz w:val="32"/>
          <w:szCs w:val="32"/>
        </w:rPr>
        <w:t>按照上级关于政府信息公开工作的最新要求，不断细化依申请政府信息公开工作程序，认真做好依申请公开政府信息的受理、告知、答复和资料整理等工作。</w:t>
      </w:r>
      <w:r>
        <w:rPr>
          <w:rFonts w:ascii="仿宋_GB2312" w:eastAsia="仿宋_GB2312" w:hint="eastAsia"/>
          <w:color w:val="000000"/>
          <w:sz w:val="32"/>
          <w:szCs w:val="32"/>
        </w:rPr>
        <w:t>按时做好《政府信息公开数据》的统计和上报工作。</w:t>
      </w:r>
    </w:p>
    <w:p w:rsidR="00E0624D" w:rsidRPr="00ED5E19" w:rsidRDefault="00ED5E19" w:rsidP="00ED5E19">
      <w:pPr>
        <w:pStyle w:val="p0"/>
        <w:spacing w:line="600" w:lineRule="atLeast"/>
        <w:ind w:firstLine="627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hAnsi="楷体_GB2312"/>
          <w:b/>
          <w:bCs/>
          <w:sz w:val="32"/>
          <w:szCs w:val="32"/>
        </w:rPr>
        <w:t>（三）加强政府信息对外宣传。</w:t>
      </w:r>
      <w:r>
        <w:rPr>
          <w:rFonts w:ascii="仿宋_GB2312" w:eastAsia="仿宋_GB2312" w:hint="eastAsia"/>
          <w:sz w:val="32"/>
          <w:szCs w:val="32"/>
        </w:rPr>
        <w:t>充分利用越秀区信息网等渠道及时公开市场主体基础信息。加强与新闻媒体的沟通协调，主动宣传报道局工作信息。做好信息发布、政策解读、疑难解答等工作。深入辖区市场、商场、学校、社区宣传法律法规、市场监督管理业务等。</w:t>
      </w:r>
    </w:p>
    <w:sectPr w:rsidR="00E0624D" w:rsidRPr="00ED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4D" w:rsidRDefault="00E0624D" w:rsidP="00ED5E19">
      <w:r>
        <w:separator/>
      </w:r>
    </w:p>
  </w:endnote>
  <w:endnote w:type="continuationSeparator" w:id="1">
    <w:p w:rsidR="00E0624D" w:rsidRDefault="00E0624D" w:rsidP="00ED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4D" w:rsidRDefault="00E0624D" w:rsidP="00ED5E19">
      <w:r>
        <w:separator/>
      </w:r>
    </w:p>
  </w:footnote>
  <w:footnote w:type="continuationSeparator" w:id="1">
    <w:p w:rsidR="00E0624D" w:rsidRDefault="00E0624D" w:rsidP="00ED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E19"/>
    <w:rsid w:val="00E0624D"/>
    <w:rsid w:val="00ED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E19"/>
    <w:rPr>
      <w:sz w:val="18"/>
      <w:szCs w:val="18"/>
    </w:rPr>
  </w:style>
  <w:style w:type="paragraph" w:customStyle="1" w:styleId="p0">
    <w:name w:val="p0"/>
    <w:basedOn w:val="a"/>
    <w:rsid w:val="00ED5E1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8">
    <w:name w:val="p18"/>
    <w:basedOn w:val="a"/>
    <w:rsid w:val="00ED5E19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吴潮壮</dc:creator>
  <cp:keywords/>
  <dc:description/>
  <cp:lastModifiedBy>吴潮壮</cp:lastModifiedBy>
  <cp:revision>2</cp:revision>
  <dcterms:created xsi:type="dcterms:W3CDTF">2019-03-29T01:52:00Z</dcterms:created>
  <dcterms:modified xsi:type="dcterms:W3CDTF">2019-03-29T01:53:00Z</dcterms:modified>
</cp:coreProperties>
</file>