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685" w:type="pct"/>
        <w:jc w:val="center"/>
        <w:tblCellSpacing w:w="0" w:type="dxa"/>
        <w:shd w:val="clear" w:color="auto" w:fill="FFFFFF"/>
        <w:tblLayout w:type="autofit"/>
        <w:tblCellMar>
          <w:top w:w="0" w:type="dxa"/>
          <w:left w:w="0" w:type="dxa"/>
          <w:bottom w:w="0" w:type="dxa"/>
          <w:right w:w="0" w:type="dxa"/>
        </w:tblCellMar>
      </w:tblPr>
      <w:tblGrid>
        <w:gridCol w:w="8499"/>
      </w:tblGrid>
      <w:tr>
        <w:tblPrEx>
          <w:shd w:val="clear" w:color="auto" w:fill="FFFFFF"/>
          <w:tblCellMar>
            <w:top w:w="0" w:type="dxa"/>
            <w:left w:w="0" w:type="dxa"/>
            <w:bottom w:w="0" w:type="dxa"/>
            <w:right w:w="0" w:type="dxa"/>
          </w:tblCellMar>
        </w:tblPrEx>
        <w:trPr>
          <w:trHeight w:val="750" w:hRule="atLeast"/>
          <w:tblCellSpacing w:w="0" w:type="dxa"/>
          <w:jc w:val="center"/>
        </w:trPr>
        <w:tc>
          <w:tcPr>
            <w:tcW w:w="5000" w:type="pct"/>
            <w:shd w:val="clear" w:color="auto" w:fill="FFFFFF"/>
            <w:vAlign w:val="center"/>
          </w:tcPr>
          <w:p>
            <w:pPr>
              <w:widowControl/>
              <w:spacing w:line="245" w:lineRule="atLeast"/>
              <w:jc w:val="center"/>
              <w:rPr>
                <w:rFonts w:hint="eastAsia" w:ascii="宋体" w:hAnsi="宋体" w:eastAsia="宋体" w:cs="宋体"/>
                <w:b/>
                <w:bCs/>
                <w:color w:val="102401"/>
                <w:kern w:val="0"/>
                <w:sz w:val="36"/>
                <w:szCs w:val="36"/>
              </w:rPr>
            </w:pPr>
            <w:r>
              <w:rPr>
                <w:rFonts w:ascii="宋体" w:hAnsi="宋体" w:eastAsia="宋体" w:cs="宋体"/>
                <w:b/>
                <w:bCs/>
                <w:color w:val="102401"/>
                <w:kern w:val="0"/>
                <w:sz w:val="36"/>
                <w:szCs w:val="36"/>
              </w:rPr>
              <w:t>放射性同位素与射线装置安全和防护年度评估报告</w:t>
            </w:r>
          </w:p>
          <w:p>
            <w:pPr>
              <w:widowControl/>
              <w:spacing w:line="245" w:lineRule="atLeast"/>
              <w:jc w:val="center"/>
              <w:rPr>
                <w:rFonts w:hint="eastAsia" w:ascii="宋体" w:hAnsi="宋体" w:eastAsia="宋体" w:cs="宋体"/>
                <w:color w:val="102401"/>
                <w:kern w:val="0"/>
                <w:sz w:val="16"/>
                <w:szCs w:val="16"/>
              </w:rPr>
            </w:pPr>
            <w:r>
              <w:rPr>
                <w:rFonts w:ascii="宋体" w:hAnsi="宋体" w:eastAsia="宋体" w:cs="宋体"/>
                <w:b/>
                <w:bCs/>
                <w:color w:val="102401"/>
                <w:kern w:val="0"/>
                <w:sz w:val="36"/>
                <w:szCs w:val="36"/>
              </w:rPr>
              <w:t>编写提纲</w:t>
            </w:r>
          </w:p>
        </w:tc>
      </w:tr>
      <w:tr>
        <w:tblPrEx>
          <w:shd w:val="clear" w:color="auto" w:fill="FFFFFF"/>
          <w:tblCellMar>
            <w:top w:w="0" w:type="dxa"/>
            <w:left w:w="0" w:type="dxa"/>
            <w:bottom w:w="0" w:type="dxa"/>
            <w:right w:w="0" w:type="dxa"/>
          </w:tblCellMar>
        </w:tblPrEx>
        <w:trPr>
          <w:tblCellSpacing w:w="0" w:type="dxa"/>
          <w:jc w:val="center"/>
        </w:trPr>
        <w:tc>
          <w:tcPr>
            <w:tcW w:w="5000" w:type="pct"/>
            <w:shd w:val="clear" w:color="auto" w:fill="FFFFFF"/>
            <w:vAlign w:val="center"/>
          </w:tcPr>
          <w:p>
            <w:pPr>
              <w:widowControl/>
              <w:spacing w:line="385" w:lineRule="atLeast"/>
              <w:ind w:firstLine="643"/>
              <w:jc w:val="left"/>
              <w:rPr>
                <w:rFonts w:hint="eastAsia" w:ascii="宋体" w:hAnsi="宋体" w:eastAsia="宋体" w:cs="宋体"/>
                <w:color w:val="102401"/>
                <w:kern w:val="0"/>
                <w:sz w:val="24"/>
                <w:szCs w:val="24"/>
              </w:rPr>
            </w:pP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一、法律依据与编写要求</w:t>
            </w:r>
          </w:p>
          <w:p>
            <w:pPr>
              <w:widowControl/>
              <w:spacing w:line="385" w:lineRule="atLeast"/>
              <w:ind w:left="1063"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b/>
                <w:bCs/>
                <w:color w:val="102401"/>
                <w:kern w:val="0"/>
                <w:sz w:val="32"/>
                <w:szCs w:val="32"/>
              </w:rPr>
              <w:t>法律依据</w:t>
            </w:r>
          </w:p>
          <w:p>
            <w:pPr>
              <w:widowControl/>
              <w:spacing w:line="385" w:lineRule="atLeast"/>
              <w:ind w:firstLine="640" w:firstLineChars="20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放射性同位素与射线装置安全许可管理办法》第四十二条规定“辐射工作单位应当编写放射性同位素与射线装置安全和防护状况年度评估报告，于每年1月31日前报原发证机关。年度评估报告应当包括放射性同位素于射线装置台账、辐射安全和防护制度及措施的建立和落实、事故和应急以及档案管理等方面的内容。”</w:t>
            </w:r>
          </w:p>
          <w:p>
            <w:pPr>
              <w:widowControl/>
              <w:spacing w:line="385" w:lineRule="atLeast"/>
              <w:ind w:left="1063"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b/>
                <w:bCs/>
                <w:color w:val="102401"/>
                <w:kern w:val="0"/>
                <w:sz w:val="32"/>
                <w:szCs w:val="32"/>
              </w:rPr>
              <w:t>需要编写评估报告的单位</w:t>
            </w:r>
          </w:p>
          <w:p>
            <w:pPr>
              <w:widowControl/>
              <w:spacing w:line="385" w:lineRule="atLeast"/>
              <w:ind w:firstLine="64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广州市范围内生产、销售、使用放射性同位素和射线装置的单位。</w:t>
            </w:r>
          </w:p>
          <w:p>
            <w:pPr>
              <w:widowControl/>
              <w:spacing w:line="385" w:lineRule="atLeast"/>
              <w:ind w:left="1063"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b/>
                <w:bCs/>
                <w:color w:val="102401"/>
                <w:kern w:val="0"/>
                <w:sz w:val="32"/>
                <w:szCs w:val="32"/>
              </w:rPr>
              <w:t>报告提交时限与部门</w:t>
            </w:r>
          </w:p>
          <w:p>
            <w:pPr>
              <w:widowControl/>
              <w:spacing w:line="385" w:lineRule="atLeast"/>
              <w:ind w:firstLine="64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每年1月31日前提交上一年度的年度评估报告。</w:t>
            </w:r>
          </w:p>
          <w:p>
            <w:pPr>
              <w:widowControl/>
              <w:spacing w:line="385" w:lineRule="atLeast"/>
              <w:ind w:firstLine="64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销售、使用Ⅳ类、Ⅴ类放射源和生产、销售、使用Ⅲ类射线装置的单位，向市</w:t>
            </w:r>
            <w:r>
              <w:rPr>
                <w:rFonts w:hint="eastAsia" w:ascii="仿宋_GB2312" w:hAnsi="宋体" w:eastAsia="仿宋_GB2312" w:cs="宋体"/>
                <w:color w:val="102401"/>
                <w:kern w:val="0"/>
                <w:sz w:val="32"/>
                <w:szCs w:val="32"/>
                <w:lang w:eastAsia="zh-CN"/>
              </w:rPr>
              <w:t>生态环境局</w:t>
            </w:r>
            <w:r>
              <w:rPr>
                <w:rFonts w:hint="eastAsia" w:ascii="仿宋_GB2312" w:hAnsi="宋体" w:eastAsia="仿宋_GB2312" w:cs="宋体"/>
                <w:color w:val="102401"/>
                <w:kern w:val="0"/>
                <w:sz w:val="32"/>
                <w:szCs w:val="32"/>
              </w:rPr>
              <w:t>、区（县级市）</w:t>
            </w:r>
            <w:r>
              <w:rPr>
                <w:rFonts w:hint="eastAsia" w:ascii="仿宋_GB2312" w:hAnsi="宋体" w:eastAsia="仿宋_GB2312" w:cs="宋体"/>
                <w:color w:val="102401"/>
                <w:kern w:val="0"/>
                <w:sz w:val="32"/>
                <w:szCs w:val="32"/>
                <w:lang w:eastAsia="zh-CN"/>
              </w:rPr>
              <w:t>生态环境分</w:t>
            </w:r>
            <w:bookmarkStart w:id="0" w:name="_GoBack"/>
            <w:bookmarkEnd w:id="0"/>
            <w:r>
              <w:rPr>
                <w:rFonts w:hint="eastAsia" w:ascii="仿宋_GB2312" w:hAnsi="宋体" w:eastAsia="仿宋_GB2312" w:cs="宋体"/>
                <w:color w:val="102401"/>
                <w:kern w:val="0"/>
                <w:sz w:val="32"/>
                <w:szCs w:val="32"/>
              </w:rPr>
              <w:t>局提交年度评估报告。</w:t>
            </w:r>
          </w:p>
          <w:p>
            <w:pPr>
              <w:widowControl/>
              <w:spacing w:line="385" w:lineRule="atLeast"/>
              <w:ind w:firstLine="64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其他类别的单位，向省</w:t>
            </w:r>
            <w:r>
              <w:rPr>
                <w:rFonts w:hint="eastAsia" w:ascii="仿宋_GB2312" w:hAnsi="宋体" w:eastAsia="仿宋_GB2312" w:cs="宋体"/>
                <w:color w:val="102401"/>
                <w:kern w:val="0"/>
                <w:sz w:val="32"/>
                <w:szCs w:val="32"/>
                <w:lang w:eastAsia="zh-CN"/>
              </w:rPr>
              <w:t>生态环境厅</w:t>
            </w:r>
            <w:r>
              <w:rPr>
                <w:rFonts w:hint="eastAsia" w:ascii="仿宋_GB2312" w:hAnsi="宋体" w:eastAsia="仿宋_GB2312" w:cs="宋体"/>
                <w:color w:val="102401"/>
                <w:kern w:val="0"/>
                <w:sz w:val="32"/>
                <w:szCs w:val="32"/>
              </w:rPr>
              <w:t>、市</w:t>
            </w:r>
            <w:r>
              <w:rPr>
                <w:rFonts w:hint="eastAsia" w:ascii="仿宋_GB2312" w:hAnsi="宋体" w:eastAsia="仿宋_GB2312" w:cs="宋体"/>
                <w:color w:val="102401"/>
                <w:kern w:val="0"/>
                <w:sz w:val="32"/>
                <w:szCs w:val="32"/>
                <w:lang w:eastAsia="zh-CN"/>
              </w:rPr>
              <w:t>生态环境局</w:t>
            </w:r>
            <w:r>
              <w:rPr>
                <w:rFonts w:hint="eastAsia" w:ascii="仿宋_GB2312" w:hAnsi="宋体" w:eastAsia="仿宋_GB2312" w:cs="宋体"/>
                <w:color w:val="102401"/>
                <w:kern w:val="0"/>
                <w:sz w:val="32"/>
                <w:szCs w:val="32"/>
              </w:rPr>
              <w:t>提交年度评估报告。</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二、年度评估报告编写提纲</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1、基本情况</w:t>
            </w:r>
          </w:p>
          <w:p>
            <w:pPr>
              <w:widowControl/>
              <w:spacing w:line="385" w:lineRule="atLeast"/>
              <w:ind w:firstLine="64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放射性同位素与射线装置的生产、销售、使用的基本情况。</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2、辐射防护管理机构与辐射工作人员情况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机构是否设立，有否指定专人负责</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辐射管理人员与操作人员的培训情况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操作人员个人剂量检测与职业健康体检情况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机构名称、法定代表人是否变更并办理变更手续</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3、档案与台账情况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项目立项、审批档案是否完备</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管理所需的台账有否正常记录</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4、规章制度执行情况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规章制度是否得到落实</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是否需要修订与健全</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5、辐射应急预案的执行情况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有否发生过辐射事故和误照射事故，如何处理、有否报告环保部门</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辐射工作人员是否熟悉环保部门应急电话12369、公安部门应急电话110，市卫生局值班电话81081186</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辐射监测仪器和防护器材配备情况，是否能正常使用</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有否发现辐射污染与辐射异常情况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应急演习的情况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辐射监测情况</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6、辐射安全隐患排查与整改情况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辐射安全隐患自查情况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环保部门检查发现的辐射安全隐患情况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整改计划与实施情况</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7、警示标志与安全防护装置的情况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是否正确悬挂电离辐射标志</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安全连锁、工作指示灯等安全防护装置是否正常</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移动使用放射源与射线装置时是否设置控制区与监督区</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8、放射源的安全与防护</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放射源的保管是否有专人负责</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是否建立放射源使用台账</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不在用的放射源是否有安全暂存设施</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放射源库是否设置双人双锁</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新购与退役的放射源情况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放射源清单</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9、开放性放射性同位素工作场所的安全与防护情况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放射性废物是否使用标准的废物桶妥善盛放</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是否将废物分类存放</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存放时间是否达到十个半衰期</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是否配备监测仪器</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定期的辐射污染监测情况，包括自行监测和环境监测机构的监测情况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放射性废物存放与排放的台账情况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开放性放射性同位素清单</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10、射线装置的安全与防护情况</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射线装置的使用与更换是否均已经过环保部门批准</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屏蔽厚度是否满足要求</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机房内是否留存不相关的杂物</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医用X射线机机房通风是否良好</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射线装置清单</w:t>
            </w: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szCs w:val="32"/>
              </w:rPr>
              <w:t>11、公众投诉与参与</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核技术应用项目有否被公众投诉，如何处理与整改</w:t>
            </w:r>
          </w:p>
          <w:p>
            <w:pPr>
              <w:widowControl/>
              <w:spacing w:line="385" w:lineRule="atLeast"/>
              <w:ind w:left="1060" w:hanging="420"/>
              <w:jc w:val="left"/>
              <w:rPr>
                <w:rFonts w:hint="eastAsia" w:ascii="宋体" w:hAnsi="宋体" w:eastAsia="宋体" w:cs="宋体"/>
                <w:color w:val="102401"/>
                <w:kern w:val="0"/>
                <w:sz w:val="24"/>
                <w:szCs w:val="24"/>
              </w:rPr>
            </w:pPr>
            <w:r>
              <w:rPr>
                <w:rFonts w:ascii="Wingdings" w:hAnsi="Wingdings" w:eastAsia="宋体" w:cs="宋体"/>
                <w:color w:val="102401"/>
                <w:kern w:val="0"/>
                <w:sz w:val="32"/>
                <w:szCs w:val="32"/>
              </w:rPr>
              <w:t></w:t>
            </w:r>
            <w:r>
              <w:rPr>
                <w:rFonts w:ascii="Times New Roman" w:hAnsi="Times New Roman" w:eastAsia="宋体" w:cs="Times New Roman"/>
                <w:color w:val="102401"/>
                <w:kern w:val="0"/>
                <w:sz w:val="14"/>
                <w:szCs w:val="14"/>
              </w:rPr>
              <w:t>     </w:t>
            </w:r>
            <w:r>
              <w:rPr>
                <w:rFonts w:ascii="Times New Roman" w:hAnsi="Times New Roman" w:eastAsia="宋体" w:cs="Times New Roman"/>
                <w:color w:val="102401"/>
                <w:kern w:val="0"/>
                <w:sz w:val="14"/>
              </w:rPr>
              <w:t> </w:t>
            </w:r>
            <w:r>
              <w:rPr>
                <w:rFonts w:hint="eastAsia" w:ascii="仿宋_GB2312" w:hAnsi="宋体" w:eastAsia="仿宋_GB2312" w:cs="宋体"/>
                <w:color w:val="102401"/>
                <w:kern w:val="0"/>
                <w:sz w:val="32"/>
                <w:szCs w:val="32"/>
              </w:rPr>
              <w:t>公众、员工提出的意见与建议</w:t>
            </w:r>
          </w:p>
          <w:p>
            <w:pPr>
              <w:widowControl/>
              <w:spacing w:line="385" w:lineRule="atLeast"/>
              <w:ind w:left="1060" w:hanging="420"/>
              <w:jc w:val="left"/>
              <w:rPr>
                <w:rFonts w:hint="eastAsia" w:ascii="宋体" w:hAnsi="宋体" w:eastAsia="宋体" w:cs="宋体"/>
                <w:color w:val="102401"/>
                <w:kern w:val="0"/>
                <w:sz w:val="24"/>
                <w:szCs w:val="24"/>
              </w:rPr>
            </w:pPr>
          </w:p>
          <w:p>
            <w:pPr>
              <w:widowControl/>
              <w:spacing w:line="385" w:lineRule="atLeast"/>
              <w:ind w:firstLine="643"/>
              <w:jc w:val="left"/>
              <w:rPr>
                <w:rFonts w:hint="eastAsia" w:ascii="宋体" w:hAnsi="宋体" w:eastAsia="宋体" w:cs="宋体"/>
                <w:color w:val="102401"/>
                <w:kern w:val="0"/>
                <w:sz w:val="24"/>
                <w:szCs w:val="24"/>
              </w:rPr>
            </w:pPr>
            <w:r>
              <w:rPr>
                <w:rFonts w:hint="eastAsia" w:ascii="仿宋_GB2312" w:hAnsi="宋体" w:eastAsia="仿宋_GB2312" w:cs="宋体"/>
                <w:b/>
                <w:bCs/>
                <w:color w:val="102401"/>
                <w:kern w:val="0"/>
                <w:sz w:val="32"/>
              </w:rPr>
              <w:t>12、附表</w:t>
            </w:r>
          </w:p>
          <w:p>
            <w:pPr>
              <w:widowControl/>
              <w:spacing w:line="385" w:lineRule="atLeast"/>
              <w:ind w:left="1060" w:hanging="420"/>
              <w:jc w:val="left"/>
              <w:rPr>
                <w:rFonts w:hint="eastAsia" w:ascii="宋体" w:hAnsi="宋体" w:eastAsia="宋体" w:cs="宋体"/>
                <w:color w:val="102401"/>
                <w:kern w:val="0"/>
                <w:sz w:val="24"/>
                <w:szCs w:val="24"/>
              </w:rPr>
            </w:pPr>
            <w:r>
              <w:rPr>
                <w:rFonts w:hint="eastAsia" w:ascii="仿宋_GB2312" w:hAnsi="宋体" w:eastAsia="仿宋_GB2312" w:cs="宋体"/>
                <w:color w:val="102401"/>
                <w:kern w:val="0"/>
                <w:sz w:val="32"/>
                <w:szCs w:val="32"/>
              </w:rPr>
              <w:t>放射源与射线装置安全和防护年度评估基本信息表</w:t>
            </w:r>
          </w:p>
        </w:tc>
      </w:tr>
    </w:tbl>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1506"/>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369E"/>
    <w:rsid w:val="00015D0C"/>
    <w:rsid w:val="000508A3"/>
    <w:rsid w:val="00064803"/>
    <w:rsid w:val="002F18BA"/>
    <w:rsid w:val="003B56E7"/>
    <w:rsid w:val="005D1F95"/>
    <w:rsid w:val="006C369E"/>
    <w:rsid w:val="00C66977"/>
    <w:rsid w:val="00C86F3B"/>
    <w:rsid w:val="00CC31EB"/>
    <w:rsid w:val="00D265CD"/>
    <w:rsid w:val="00DE7491"/>
    <w:rsid w:val="00E564A4"/>
    <w:rsid w:val="00FC1B50"/>
    <w:rsid w:val="4BEE043B"/>
    <w:rsid w:val="7A48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apple-converted-space"/>
    <w:basedOn w:val="6"/>
    <w:qFormat/>
    <w:uiPriority w:val="0"/>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4</Pages>
  <Words>229</Words>
  <Characters>1306</Characters>
  <Lines>10</Lines>
  <Paragraphs>3</Paragraphs>
  <TotalTime>11</TotalTime>
  <ScaleCrop>false</ScaleCrop>
  <LinksUpToDate>false</LinksUpToDate>
  <CharactersWithSpaces>1532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2016-11-08T01:41:00Z</dcterms:created>
  <dc:creator>陈康强</dc:creator>
  <cp:lastModifiedBy>未定义</cp:lastModifiedBy>
  <cp:lastPrinted>2016-11-18T02:39:00Z</cp:lastPrinted>
  <dcterms:modified xsi:type="dcterms:W3CDTF">2019-11-28T06:21:09Z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