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0C" w:rsidRPr="00BF29FD" w:rsidRDefault="00A2310C" w:rsidP="003C2C42">
      <w:pPr>
        <w:jc w:val="center"/>
        <w:rPr>
          <w:rFonts w:ascii="Times New Roman" w:eastAsia="华康标题宋W9(P)" w:hAnsi="Times New Roman" w:cs="Times New Roman"/>
          <w:kern w:val="0"/>
          <w:sz w:val="44"/>
          <w:szCs w:val="44"/>
        </w:rPr>
      </w:pPr>
      <w:r w:rsidRPr="00BF29FD">
        <w:rPr>
          <w:rFonts w:ascii="Times New Roman" w:eastAsia="华康标题宋W9(P)" w:hAnsi="Times New Roman" w:cs="Times New Roman"/>
          <w:kern w:val="0"/>
          <w:sz w:val="44"/>
          <w:szCs w:val="44"/>
        </w:rPr>
        <w:t>2018</w:t>
      </w:r>
      <w:r w:rsidRPr="00BF29FD">
        <w:rPr>
          <w:rFonts w:ascii="Times New Roman" w:eastAsia="华康标题宋W9(P)" w:hAnsi="Times New Roman" w:cs="Times New Roman"/>
          <w:kern w:val="0"/>
          <w:sz w:val="44"/>
          <w:szCs w:val="44"/>
        </w:rPr>
        <w:t>年越秀区</w:t>
      </w:r>
      <w:r w:rsidR="00E948EB" w:rsidRPr="00BF29FD">
        <w:rPr>
          <w:rFonts w:ascii="Times New Roman" w:eastAsia="华康标题宋W9(P)" w:hAnsi="Times New Roman" w:cs="Times New Roman"/>
          <w:kern w:val="0"/>
          <w:sz w:val="44"/>
          <w:szCs w:val="44"/>
        </w:rPr>
        <w:t>一季度</w:t>
      </w:r>
      <w:r w:rsidRPr="00BF29FD">
        <w:rPr>
          <w:rFonts w:ascii="Times New Roman" w:eastAsia="华康标题宋W9(P)" w:hAnsi="Times New Roman" w:cs="Times New Roman"/>
          <w:kern w:val="0"/>
          <w:sz w:val="44"/>
          <w:szCs w:val="44"/>
        </w:rPr>
        <w:t>经济运行情况分析</w:t>
      </w:r>
    </w:p>
    <w:p w:rsidR="00DD215C" w:rsidRPr="00BF29FD" w:rsidRDefault="00DD215C" w:rsidP="00DD215C">
      <w:pPr>
        <w:spacing w:line="560" w:lineRule="exact"/>
        <w:jc w:val="center"/>
        <w:rPr>
          <w:rFonts w:ascii="Times New Roman" w:eastAsia="宋体" w:hAnsi="Times New Roman" w:cs="Times New Roman"/>
          <w:color w:val="000000"/>
          <w:sz w:val="44"/>
          <w:szCs w:val="44"/>
        </w:rPr>
      </w:pPr>
    </w:p>
    <w:p w:rsidR="00E948EB" w:rsidRPr="00BF29FD" w:rsidRDefault="00E948EB" w:rsidP="00E948EB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BF29FD">
        <w:rPr>
          <w:rFonts w:ascii="Times New Roman" w:eastAsia="仿宋" w:hAnsi="Times New Roman" w:cs="Times New Roman"/>
          <w:kern w:val="0"/>
          <w:sz w:val="32"/>
          <w:szCs w:val="32"/>
        </w:rPr>
        <w:t>2018</w:t>
      </w:r>
      <w:r w:rsidRPr="00BF29FD">
        <w:rPr>
          <w:rFonts w:ascii="Times New Roman" w:eastAsia="仿宋" w:hAnsi="Times New Roman" w:cs="Times New Roman"/>
          <w:kern w:val="0"/>
          <w:sz w:val="32"/>
          <w:szCs w:val="32"/>
        </w:rPr>
        <w:t>年，我区高举中国特色社会主义伟大旗帜，全面贯彻党的十九大和中央经济工作会议精神，以习近平新时代中国特色社会主义思想为指引，坚持稳中求进工作总基调，坚持新发展理念，坚持以供给侧结构性改革为主线，经济结构不断优化，质量效益继续提升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黑体" w:hAnsi="Times New Roman" w:cs="Times New Roman"/>
          <w:kern w:val="0"/>
          <w:sz w:val="32"/>
          <w:szCs w:val="32"/>
        </w:rPr>
        <w:t>一、主要指标完成情况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地区生产总值（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GDP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833.93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2.0%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工业增加值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4.92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7.4%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社会消费品零售总额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330.80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6.6%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商品销售总额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2230.21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7.2%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固定资产投资额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12.49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亿元，下降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42.6%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税收收入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103.06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12.2%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一般公共预算收入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13.74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9.4%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实际利用外资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0.82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亿美元，增长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1.3%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——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商品出口总值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97.48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亿元，下降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6.4%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BF29FD">
        <w:rPr>
          <w:rFonts w:ascii="Times New Roman" w:eastAsia="黑体" w:hAnsi="Times New Roman" w:cs="Times New Roman"/>
          <w:bCs/>
          <w:sz w:val="32"/>
          <w:szCs w:val="32"/>
        </w:rPr>
        <w:t>二、经济运行特点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楷体_GB2312" w:hAnsi="Times New Roman" w:cs="Times New Roman"/>
          <w:kern w:val="0"/>
          <w:sz w:val="32"/>
          <w:szCs w:val="32"/>
        </w:rPr>
        <w:t>（一）</w:t>
      </w:r>
      <w:r w:rsidR="003C2C42"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两大需求</w:t>
      </w:r>
      <w:r w:rsidRPr="00BF29FD">
        <w:rPr>
          <w:rFonts w:ascii="Times New Roman" w:eastAsia="楷体_GB2312" w:hAnsi="Times New Roman" w:cs="Times New Roman"/>
          <w:kern w:val="0"/>
          <w:sz w:val="32"/>
          <w:szCs w:val="32"/>
        </w:rPr>
        <w:t>增速放缓。</w:t>
      </w:r>
    </w:p>
    <w:p w:rsidR="00E948EB" w:rsidRPr="00BF29FD" w:rsidRDefault="003C2C42" w:rsidP="00E948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三大需求中投资及出口增速均为负增长。一季度，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固定资产投资额下降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42.6%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，降幅比上年同期扩大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25.5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个百分点；其中，完成工业投资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1061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万元，增长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5.8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倍。完成商品出口总值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97.48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亿元，下降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6.4%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，降幅比上年同期收窄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4.7</w:t>
      </w:r>
      <w:r w:rsidR="00E948EB"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个百分点。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楷体_GB2312" w:hAnsi="Times New Roman" w:cs="Times New Roman"/>
          <w:kern w:val="0"/>
          <w:sz w:val="32"/>
          <w:szCs w:val="32"/>
        </w:rPr>
        <w:lastRenderedPageBreak/>
        <w:t>（二）消费市场保持平稳增长。</w:t>
      </w:r>
    </w:p>
    <w:p w:rsidR="003C2C42" w:rsidRDefault="00E948EB" w:rsidP="00E948EB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实现社会消费品零售总额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330.80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6.6%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；升级类商品消费快速增长，机电产品及设备、汽车类、通讯器材等类别规模以上商品零售额增速均超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13%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。商品销售总额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2230.21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7.2%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；煤炭及制品、木材及制品、石油及制品、建筑及装潢材料类等大宗商品销售良好，增速均超过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40%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楷体_GB2312" w:hAnsi="Times New Roman" w:cs="Times New Roman"/>
          <w:kern w:val="0"/>
          <w:sz w:val="32"/>
          <w:szCs w:val="32"/>
        </w:rPr>
        <w:t>（三）经济效益持续提升。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全区实现一般公共预算收入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13.74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亿元，增收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1.18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9.4%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，区库税收收入增长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14.1%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，税收占比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76.85%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，收入质量有所提高。其中，地税部门收入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6.74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20.8%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；国税部门收入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4.39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5.1%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；财政部门收入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2.62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亿元，下降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6.6%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全区实现税收收入（不含直属分局，下同）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103.06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12.2%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，增速比上年同期提高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0.7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个百分点。其中，国税收入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45.17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6.7%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，其中增值税增长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11.0%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；地税收入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57.89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16.9%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楷体_GB2312" w:hAnsi="Times New Roman" w:cs="Times New Roman"/>
          <w:kern w:val="0"/>
          <w:sz w:val="32"/>
          <w:szCs w:val="32"/>
        </w:rPr>
        <w:t>（四）经济内生动力有所增强。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市场主体有活力。全区实有各类商事主体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154898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户，增长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8.8%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。其中企业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81781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户，个体工商户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73117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户。新增各类商事主体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5478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户，增长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37.4%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。其中，新增内资企业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3701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户，增长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49.1%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；新增外资企业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261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户，增长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58.2%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；新增个体工商户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1516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户，增长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13.1%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。注册资本总额（认缴）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514.73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1.9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倍，继续保持高速增长态势。我区今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年新成立的注册资金达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1000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万以上的企业（含市工商局、区局登记）共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436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46.3%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；注册资金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亿元以上的企业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44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10%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亿以上的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家，增长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1.3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倍，分别是：广州中融城市建设开发有限公司、广州中融京智房地产开发有限公司、广州中融智顺房地产开发有限公司、易生康养（广州）有限公司、广州金之邦农信投资合伙企业（有限合伙）、广州越秀住房租赁发展投资有限公司、永峰华科（广州）工贸有限公司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楷体_GB2312" w:hAnsi="Times New Roman" w:cs="Times New Roman"/>
          <w:kern w:val="0"/>
          <w:sz w:val="32"/>
          <w:szCs w:val="32"/>
        </w:rPr>
        <w:t>（五）现代产业体系加快构建。</w:t>
      </w:r>
    </w:p>
    <w:p w:rsidR="00E948EB" w:rsidRPr="00BF29FD" w:rsidRDefault="00E948EB" w:rsidP="00E948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pct15" w:color="auto" w:fill="FFFFFF"/>
        </w:rPr>
      </w:pPr>
      <w:r w:rsidRPr="00BF29FD">
        <w:rPr>
          <w:rFonts w:ascii="Times New Roman" w:eastAsia="仿宋_GB2312" w:hAnsi="Times New Roman" w:cs="Times New Roman"/>
          <w:sz w:val="32"/>
          <w:szCs w:val="32"/>
        </w:rPr>
        <w:t>新兴金融机构加快集聚。广州民间金融街建成全国金融科技先行试验区，已成功吸引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8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家世界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强，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17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家中国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强，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60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余家国内外上市企业入驻。互联网小贷数量达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41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家，占全市的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；二三四五小贷公司、立根再贷款公司等经营状况良好的小贷公司年纳税额均超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万元；试点设立内资商业保理公司，全区商业保理企业达到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18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E948EB" w:rsidRPr="00BF29FD" w:rsidRDefault="00E948EB" w:rsidP="00E948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F29FD">
        <w:rPr>
          <w:rFonts w:ascii="Times New Roman" w:eastAsia="仿宋_GB2312" w:hAnsi="Times New Roman" w:cs="Times New Roman"/>
          <w:sz w:val="32"/>
          <w:szCs w:val="32"/>
        </w:rPr>
        <w:t>新业态蓬勃发展。一季度，网上零售额增长持续强劲，通过公共网络实现的商品零售额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1.56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43.9%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BF29FD">
        <w:rPr>
          <w:rFonts w:ascii="Times New Roman" w:eastAsia="仿宋_GB2312" w:hAnsi="Times New Roman" w:cs="Times New Roman"/>
          <w:sz w:val="32"/>
        </w:rPr>
        <w:t>全区积极加快市场采购试点贸易商培育，一季度完成市场采购出口</w:t>
      </w:r>
      <w:r w:rsidRPr="00BF29FD">
        <w:rPr>
          <w:rFonts w:ascii="Times New Roman" w:eastAsia="仿宋_GB2312" w:hAnsi="Times New Roman" w:cs="Times New Roman"/>
          <w:sz w:val="32"/>
        </w:rPr>
        <w:t>44.9</w:t>
      </w:r>
      <w:r w:rsidRPr="00BF29FD">
        <w:rPr>
          <w:rFonts w:ascii="Times New Roman" w:eastAsia="仿宋_GB2312" w:hAnsi="Times New Roman" w:cs="Times New Roman"/>
          <w:sz w:val="32"/>
        </w:rPr>
        <w:t>亿元，增长</w:t>
      </w:r>
      <w:r w:rsidRPr="00BF29FD">
        <w:rPr>
          <w:rFonts w:ascii="Times New Roman" w:eastAsia="仿宋_GB2312" w:hAnsi="Times New Roman" w:cs="Times New Roman"/>
          <w:sz w:val="32"/>
        </w:rPr>
        <w:t>9.5%</w:t>
      </w:r>
      <w:r w:rsidRPr="00BF29FD">
        <w:rPr>
          <w:rFonts w:ascii="Times New Roman" w:eastAsia="仿宋_GB2312" w:hAnsi="Times New Roman" w:cs="Times New Roman"/>
          <w:sz w:val="32"/>
        </w:rPr>
        <w:t>。</w:t>
      </w:r>
    </w:p>
    <w:p w:rsidR="00E948EB" w:rsidRPr="00BF29FD" w:rsidRDefault="00E948EB" w:rsidP="00E948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sz w:val="32"/>
          <w:szCs w:val="32"/>
        </w:rPr>
        <w:t>创新发展先行区建设步伐加快。目前，我区正大力推动中科院广州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IAB100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价值创新园、广东地理科技与文化创新创意产业园、广东综合能源价值创新园等重点园区，聚焦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园区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+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硅楼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的形式，持续优化拓展产业空间，主动对接广深科技创新走廊规划和珠三角国家自主创新示范区建设。</w:t>
      </w:r>
    </w:p>
    <w:p w:rsidR="00E948EB" w:rsidRPr="00BF29FD" w:rsidRDefault="00E948EB" w:rsidP="00E948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sz w:val="32"/>
          <w:szCs w:val="32"/>
        </w:rPr>
        <w:lastRenderedPageBreak/>
        <w:t>黄花岗科技园稳步发展。一季度，黄花岗科技园企业实现营业收入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87.01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7.0%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；实现税收收入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2.34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7.1%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；新增注册资金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万以上入园企业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9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楷体_GB2312" w:hAnsi="Times New Roman" w:cs="Times New Roman"/>
          <w:kern w:val="0"/>
          <w:sz w:val="32"/>
          <w:szCs w:val="32"/>
        </w:rPr>
        <w:t>（六）营商环境显著改善。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政务服务水平不断提高。全区已推行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一窗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集成服务模式及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互联网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+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政务服务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改革，实现大部分行政审批（备案）事项全流程智能网办改造。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年我区获得全国县区政府政务透明度评比前十名、公共服务满意度连续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年蝉联全省第一、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2016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年度广州城市治理人类发展指数金奖等一批重要荣誉。</w:t>
      </w:r>
    </w:p>
    <w:p w:rsidR="00E948EB" w:rsidRPr="00BF29FD" w:rsidRDefault="00E948EB" w:rsidP="00E948EB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</w:rPr>
      </w:pPr>
      <w:r w:rsidRPr="00BF29FD">
        <w:rPr>
          <w:rFonts w:ascii="Times New Roman" w:eastAsia="仿宋_GB2312" w:hAnsi="Times New Roman" w:cs="Times New Roman"/>
          <w:sz w:val="32"/>
        </w:rPr>
        <w:t>便利化准入环境不断推进。全面实施准入负面清单管理模式，实行注册登记独立审核制度，推行商事主体设立</w:t>
      </w:r>
      <w:r w:rsidRPr="00BF29FD">
        <w:rPr>
          <w:rFonts w:ascii="Times New Roman" w:eastAsia="仿宋_GB2312" w:hAnsi="Times New Roman" w:cs="Times New Roman"/>
          <w:sz w:val="32"/>
        </w:rPr>
        <w:t>“</w:t>
      </w:r>
      <w:r w:rsidRPr="00BF29FD">
        <w:rPr>
          <w:rFonts w:ascii="Times New Roman" w:eastAsia="仿宋_GB2312" w:hAnsi="Times New Roman" w:cs="Times New Roman"/>
          <w:sz w:val="32"/>
        </w:rPr>
        <w:t>容缺机制</w:t>
      </w:r>
      <w:r w:rsidRPr="00BF29FD">
        <w:rPr>
          <w:rFonts w:ascii="Times New Roman" w:eastAsia="仿宋_GB2312" w:hAnsi="Times New Roman" w:cs="Times New Roman"/>
          <w:sz w:val="32"/>
        </w:rPr>
        <w:t>”</w:t>
      </w:r>
      <w:r w:rsidRPr="00BF29FD">
        <w:rPr>
          <w:rFonts w:ascii="Times New Roman" w:eastAsia="仿宋_GB2312" w:hAnsi="Times New Roman" w:cs="Times New Roman"/>
          <w:sz w:val="32"/>
        </w:rPr>
        <w:t>，加快打造</w:t>
      </w:r>
      <w:r w:rsidRPr="00BF29FD">
        <w:rPr>
          <w:rFonts w:ascii="Times New Roman" w:eastAsia="仿宋_GB2312" w:hAnsi="Times New Roman" w:cs="Times New Roman"/>
          <w:sz w:val="32"/>
        </w:rPr>
        <w:t>“</w:t>
      </w:r>
      <w:r w:rsidRPr="00BF29FD">
        <w:rPr>
          <w:rFonts w:ascii="Times New Roman" w:eastAsia="仿宋_GB2312" w:hAnsi="Times New Roman" w:cs="Times New Roman"/>
          <w:sz w:val="32"/>
        </w:rPr>
        <w:t>只跑一次</w:t>
      </w:r>
      <w:r w:rsidRPr="00BF29FD">
        <w:rPr>
          <w:rFonts w:ascii="Times New Roman" w:eastAsia="仿宋_GB2312" w:hAnsi="Times New Roman" w:cs="Times New Roman"/>
          <w:sz w:val="32"/>
        </w:rPr>
        <w:t>”</w:t>
      </w:r>
      <w:r w:rsidRPr="00BF29FD">
        <w:rPr>
          <w:rFonts w:ascii="Times New Roman" w:eastAsia="仿宋_GB2312" w:hAnsi="Times New Roman" w:cs="Times New Roman"/>
          <w:sz w:val="32"/>
        </w:rPr>
        <w:t>办事机制。</w:t>
      </w:r>
    </w:p>
    <w:p w:rsidR="00E948EB" w:rsidRPr="00BF29FD" w:rsidRDefault="00E948EB" w:rsidP="00E948EB">
      <w:pPr>
        <w:pStyle w:val="NewNewNewNewNewNewNewNewNewNewNewNewNewNewNewNewNewNewNewNewNew"/>
        <w:snapToGrid w:val="0"/>
        <w:spacing w:line="560" w:lineRule="exact"/>
        <w:ind w:firstLineChars="200" w:firstLine="640"/>
        <w:rPr>
          <w:rFonts w:eastAsia="仿宋_GB2312" w:hint="default"/>
          <w:sz w:val="32"/>
        </w:rPr>
      </w:pPr>
      <w:r w:rsidRPr="00BF29FD">
        <w:rPr>
          <w:rFonts w:eastAsia="仿宋_GB2312" w:hint="default"/>
          <w:sz w:val="32"/>
        </w:rPr>
        <w:t>美丽越秀建设工作持续优化。全区正积极推进</w:t>
      </w:r>
      <w:r w:rsidRPr="00BF29FD">
        <w:rPr>
          <w:rFonts w:eastAsia="仿宋_GB2312" w:hint="default"/>
          <w:sz w:val="32"/>
        </w:rPr>
        <w:t>135</w:t>
      </w:r>
      <w:r w:rsidRPr="00BF29FD">
        <w:rPr>
          <w:rFonts w:eastAsia="仿宋_GB2312" w:hint="default"/>
          <w:sz w:val="32"/>
        </w:rPr>
        <w:t>个老旧社区改造行动计划，推动更干净更整洁更平安有序城市环境向背街小巷延伸，用绣花功夫建设美丽越秀。</w:t>
      </w:r>
    </w:p>
    <w:p w:rsidR="00E948EB" w:rsidRPr="00BF29FD" w:rsidRDefault="00E948EB" w:rsidP="00E948EB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楷体_GB2312" w:hAnsi="Times New Roman" w:cs="Times New Roman"/>
          <w:kern w:val="0"/>
          <w:sz w:val="32"/>
          <w:szCs w:val="32"/>
        </w:rPr>
        <w:t>（七）功能区建设稳步推进。</w:t>
      </w:r>
    </w:p>
    <w:p w:rsidR="00E948EB" w:rsidRPr="00BF29FD" w:rsidRDefault="00E948EB" w:rsidP="00E948EB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北京路文化核心区带动文商旅资源优化配置。园区已</w:t>
      </w:r>
      <w:r w:rsidRPr="00BF29FD">
        <w:rPr>
          <w:rFonts w:ascii="Times New Roman" w:eastAsia="仿宋_GB2312" w:hAnsi="Times New Roman" w:cs="Times New Roman"/>
          <w:color w:val="000000"/>
          <w:sz w:val="32"/>
        </w:rPr>
        <w:t>通过国家文化部评审，获得第一批国家级文化产业示范园区创建资格，目前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正在积极推进</w:t>
      </w:r>
      <w:r w:rsidRPr="00BF29FD">
        <w:rPr>
          <w:rFonts w:ascii="Times New Roman" w:eastAsia="仿宋_GB2312" w:hAnsi="Times New Roman" w:cs="Times New Roman"/>
          <w:color w:val="000000"/>
          <w:sz w:val="32"/>
        </w:rPr>
        <w:t>筹建国家级知名品牌示范园区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工作；</w:t>
      </w:r>
      <w:r w:rsidRPr="00BF29FD">
        <w:rPr>
          <w:rFonts w:ascii="Times New Roman" w:eastAsia="仿宋_GB2312" w:hAnsi="Times New Roman" w:cs="Times New Roman"/>
          <w:color w:val="000000"/>
          <w:sz w:val="32"/>
        </w:rPr>
        <w:t>组织编制《广州传统中轴线地区保护规划实施方案》，对</w:t>
      </w:r>
      <w:r w:rsidRPr="00BF29FD">
        <w:rPr>
          <w:rFonts w:ascii="Times New Roman" w:eastAsia="仿宋_GB2312" w:hAnsi="Times New Roman" w:cs="Times New Roman"/>
          <w:color w:val="000000"/>
          <w:sz w:val="32"/>
        </w:rPr>
        <w:t>2018—2023</w:t>
      </w:r>
      <w:r w:rsidRPr="00BF29FD">
        <w:rPr>
          <w:rFonts w:ascii="Times New Roman" w:eastAsia="仿宋_GB2312" w:hAnsi="Times New Roman" w:cs="Times New Roman"/>
          <w:color w:val="000000"/>
          <w:sz w:val="32"/>
        </w:rPr>
        <w:t>年传统中轴线提升工作进行规划部署，继续擦亮中轴线活动品牌；积极推进体验式粤菜博物馆建设及庄臣美食坊项目落地工作。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截至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月底，北京路文化核心区共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有招商服务预登记项目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个，其中文化创意业项目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个，商贸业项目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个，健康医疗产业项目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个，目前已有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个项目确认落户。</w:t>
      </w:r>
    </w:p>
    <w:p w:rsidR="00E948EB" w:rsidRPr="00BF29FD" w:rsidRDefault="00E948EB" w:rsidP="00E948EB">
      <w:pPr>
        <w:widowControl/>
        <w:spacing w:line="56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民间金融街多元布局综合发展，规模效应日益凸显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。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截至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月底，金融街入驻机构达到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586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家，其中主导产业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283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家，年内新增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家。包括互联网特色小贷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41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家，基金公司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14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家，融资租赁公司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家，商业保理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18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家。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园区共集聚各类民间资本近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500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亿元，年内新增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27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亿元；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1-3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月，金融街内各类入驻机构累计为中小微企业和个人客户提供融资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635.07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亿元，增长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12%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；贡献各项税收约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1.23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亿元，增长约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10%</w:t>
      </w:r>
      <w:r w:rsidRPr="00BF29FD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。不断推动经济新常态下金融与实体经济良性互动，进一步缓解中小企业融资难、融资贵问题</w:t>
      </w:r>
      <w:r w:rsidRPr="00BF29FD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948EB" w:rsidRPr="00BF29FD" w:rsidRDefault="003C2C42" w:rsidP="00E948EB">
      <w:pPr>
        <w:widowControl/>
        <w:spacing w:line="560" w:lineRule="exact"/>
        <w:ind w:firstLineChars="250" w:firstLine="80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E948EB" w:rsidRPr="00BF29FD">
        <w:rPr>
          <w:rFonts w:ascii="Times New Roman" w:eastAsia="黑体" w:hAnsi="Times New Roman" w:cs="Times New Roman"/>
          <w:sz w:val="32"/>
          <w:szCs w:val="32"/>
        </w:rPr>
        <w:t>、招商</w:t>
      </w:r>
      <w:bookmarkStart w:id="0" w:name="_GoBack"/>
      <w:bookmarkEnd w:id="0"/>
      <w:r w:rsidR="00E948EB" w:rsidRPr="00BF29FD">
        <w:rPr>
          <w:rFonts w:ascii="Times New Roman" w:eastAsia="黑体" w:hAnsi="Times New Roman" w:cs="Times New Roman"/>
          <w:sz w:val="32"/>
          <w:szCs w:val="32"/>
        </w:rPr>
        <w:t>引资情况</w:t>
      </w:r>
    </w:p>
    <w:p w:rsidR="00E948EB" w:rsidRPr="00BF29FD" w:rsidRDefault="00E948EB" w:rsidP="00E948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sz w:val="32"/>
          <w:szCs w:val="32"/>
        </w:rPr>
        <w:t>一季度，全区登记管理的区领导、职能部门、街道重点招商项目共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107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个，与去年同期持平。成功落户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41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家，占预登记管理项目的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38.3%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，其中亿元以上的企业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11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家，注册资本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万元及以上企业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18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家。成功引进海印医院、越秀住房租赁、百家医道、中航特色小镇投资、中吉亚国际贸易、焦点教育、中煤地质环境等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41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家优质项目，注册资本合计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61.36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E948EB" w:rsidRPr="00BF29FD" w:rsidRDefault="00E948EB" w:rsidP="00E948E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29FD">
        <w:rPr>
          <w:rFonts w:ascii="Times New Roman" w:eastAsia="仿宋_GB2312" w:hAnsi="Times New Roman" w:cs="Times New Roman"/>
          <w:sz w:val="32"/>
          <w:szCs w:val="32"/>
        </w:rPr>
        <w:t>瞄准产业发展方向精准招商。以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品牌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+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效益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为原则，以平台（园区）为立足点，以业态创新为指引，结合广州市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IAB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NEM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t>等产业招商指导方向，推动新消费、新金融、大健康、数字科技、人工智能、高端中介、直销、特色教育、文化旅</w:t>
      </w:r>
      <w:r w:rsidRPr="00BF29FD">
        <w:rPr>
          <w:rFonts w:ascii="Times New Roman" w:eastAsia="仿宋_GB2312" w:hAnsi="Times New Roman" w:cs="Times New Roman"/>
          <w:sz w:val="32"/>
          <w:szCs w:val="32"/>
        </w:rPr>
        <w:lastRenderedPageBreak/>
        <w:t>游等现代服务业企业在各大园区集聚发展，成功引进广百资本、广州德家、焦点教育、中医智库、视泰保理、品众保理、理想云商等重点产业项目。</w:t>
      </w:r>
    </w:p>
    <w:sectPr w:rsidR="00E948EB" w:rsidRPr="00BF29FD" w:rsidSect="00DD215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36" w:rsidRDefault="00B16E36" w:rsidP="00DD215C">
      <w:r>
        <w:separator/>
      </w:r>
    </w:p>
  </w:endnote>
  <w:endnote w:type="continuationSeparator" w:id="0">
    <w:p w:rsidR="00B16E36" w:rsidRDefault="00B16E36" w:rsidP="00DD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488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215C" w:rsidRPr="00DD215C" w:rsidRDefault="00DD215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21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21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21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C42" w:rsidRPr="003C2C4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3C2C42">
          <w:rPr>
            <w:rFonts w:ascii="Times New Roman" w:hAnsi="Times New Roman" w:cs="Times New Roman"/>
            <w:noProof/>
            <w:sz w:val="24"/>
            <w:szCs w:val="24"/>
          </w:rPr>
          <w:t xml:space="preserve"> 6 -</w:t>
        </w:r>
        <w:r w:rsidRPr="00DD21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215C" w:rsidRDefault="00DD21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36" w:rsidRDefault="00B16E36" w:rsidP="00DD215C">
      <w:r>
        <w:separator/>
      </w:r>
    </w:p>
  </w:footnote>
  <w:footnote w:type="continuationSeparator" w:id="0">
    <w:p w:rsidR="00B16E36" w:rsidRDefault="00B16E36" w:rsidP="00DD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5A"/>
    <w:rsid w:val="0000422C"/>
    <w:rsid w:val="00140406"/>
    <w:rsid w:val="001D41B4"/>
    <w:rsid w:val="001F565C"/>
    <w:rsid w:val="00350183"/>
    <w:rsid w:val="003C2C42"/>
    <w:rsid w:val="00A2310C"/>
    <w:rsid w:val="00B16E36"/>
    <w:rsid w:val="00B974B4"/>
    <w:rsid w:val="00BF29FD"/>
    <w:rsid w:val="00DD215C"/>
    <w:rsid w:val="00E948EB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BDBC0-BE8E-4F42-BEA5-0CD707E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76C5A"/>
    <w:rPr>
      <w:sz w:val="18"/>
      <w:szCs w:val="18"/>
    </w:rPr>
  </w:style>
  <w:style w:type="character" w:customStyle="1" w:styleId="Char">
    <w:name w:val="批注框文本 Char"/>
    <w:basedOn w:val="a0"/>
    <w:link w:val="a3"/>
    <w:rsid w:val="00F76C5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21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2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215C"/>
    <w:rPr>
      <w:sz w:val="18"/>
      <w:szCs w:val="18"/>
    </w:rPr>
  </w:style>
  <w:style w:type="character" w:customStyle="1" w:styleId="NewNew">
    <w:name w:val="脚注引用 New New"/>
    <w:rsid w:val="00DD215C"/>
    <w:rPr>
      <w:vertAlign w:val="superscript"/>
    </w:rPr>
  </w:style>
  <w:style w:type="paragraph" w:customStyle="1" w:styleId="NewNewNew">
    <w:name w:val="脚注文本 New New New"/>
    <w:basedOn w:val="a"/>
    <w:rsid w:val="00DD215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p16">
    <w:name w:val="p16"/>
    <w:basedOn w:val="a"/>
    <w:rsid w:val="00A2310C"/>
    <w:pPr>
      <w:widowControl/>
    </w:pPr>
    <w:rPr>
      <w:rFonts w:ascii="宋体" w:eastAsia="宋体" w:hAnsi="宋体" w:cs="宋体"/>
      <w:kern w:val="0"/>
      <w:szCs w:val="21"/>
    </w:rPr>
  </w:style>
  <w:style w:type="paragraph" w:styleId="a6">
    <w:name w:val="footnote text"/>
    <w:basedOn w:val="a"/>
    <w:link w:val="Char2"/>
    <w:qFormat/>
    <w:rsid w:val="00A2310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rsid w:val="00A2310C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qFormat/>
    <w:rsid w:val="00A2310C"/>
    <w:rPr>
      <w:vertAlign w:val="superscript"/>
    </w:rPr>
  </w:style>
  <w:style w:type="paragraph" w:customStyle="1" w:styleId="a8">
    <w:name w:val="二级标题"/>
    <w:basedOn w:val="a"/>
    <w:link w:val="a9"/>
    <w:qFormat/>
    <w:rsid w:val="00A2310C"/>
    <w:pPr>
      <w:widowControl/>
      <w:spacing w:line="560" w:lineRule="exact"/>
      <w:ind w:firstLine="640"/>
    </w:pPr>
    <w:rPr>
      <w:rFonts w:ascii="Times New Roman" w:eastAsia="楷体_GB2312" w:hAnsi="Times New Roman" w:cs="Times New Roman"/>
      <w:sz w:val="32"/>
      <w:szCs w:val="32"/>
    </w:rPr>
  </w:style>
  <w:style w:type="character" w:customStyle="1" w:styleId="a9">
    <w:name w:val="二级标题 字符"/>
    <w:link w:val="a8"/>
    <w:rsid w:val="00A2310C"/>
    <w:rPr>
      <w:rFonts w:ascii="Times New Roman" w:eastAsia="楷体_GB2312" w:hAnsi="Times New Roman" w:cs="Times New Roman"/>
      <w:sz w:val="32"/>
      <w:szCs w:val="32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E948EB"/>
    <w:pPr>
      <w:widowControl w:val="0"/>
      <w:jc w:val="both"/>
    </w:pPr>
    <w:rPr>
      <w:rFonts w:ascii="Times New Roman" w:eastAsia="宋体" w:hAnsi="Times New Roman" w:cs="Times New Roman" w:hint="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4145-1192-40C9-BAFF-94D6F921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杜福华</cp:lastModifiedBy>
  <cp:revision>7</cp:revision>
  <cp:lastPrinted>2018-04-13T03:06:00Z</cp:lastPrinted>
  <dcterms:created xsi:type="dcterms:W3CDTF">2017-09-21T00:21:00Z</dcterms:created>
  <dcterms:modified xsi:type="dcterms:W3CDTF">2018-06-20T01:46:00Z</dcterms:modified>
</cp:coreProperties>
</file>